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4.png" ContentType="image/png"/>
  <Override PartName="/word/media/rId31.png" ContentType="image/png"/>
  <Override PartName="/word/media/rId9.svg" ContentType="image/svg+xml"/>
  <Override PartName="/word/media/rId42.png" ContentType="image/png"/>
  <Override PartName="/word/media/rId54.png" ContentType="image/png"/>
  <Override PartName="/word/media/rId48.png" ContentType="image/png"/>
  <Override PartName="/word/media/rId12.png" ContentType="image/png"/>
  <Override PartName="/word/media/rId134.png" ContentType="image/png"/>
  <Override PartName="/word/media/rId15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CalCOFI.io</w:t>
      </w:r>
    </w:p>
    <w:p>
      <w:pPr>
        <w:pStyle w:val="Subtitle"/>
      </w:pPr>
      <w:r>
        <w:t xml:space="preserve">Documentation</w:t>
      </w:r>
    </w:p>
    <w:p>
      <w:pPr>
        <w:pStyle w:val="Author"/>
      </w:pPr>
      <w:r>
        <w:t xml:space="preserve">Benjamin D. Best</w:t>
      </w:r>
    </w:p>
    <w:p>
      <w:pPr>
        <w:pStyle w:val="Author"/>
      </w:pPr>
      <w:r>
        <w:t xml:space="preserve">Erin Satterthwaite</w:t>
      </w:r>
    </w:p>
    <w:p>
      <w:pPr>
        <w:pStyle w:val="Date"/>
      </w:pPr>
      <w:r>
        <w:t xml:space="preserve">2026-04-29</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process"/>
    <w:p>
      <w:pPr>
        <w:pStyle w:val="Heading1"/>
      </w:pPr>
      <w:r>
        <w:t xml:space="preserve">1. Process</w:t>
      </w:r>
    </w:p>
    <w:tbl>
      <w:tblPr>
        <w:tblStyle w:val="Table"/>
        <w:tblW w:type="pct" w:w="5000"/>
        <w:tblLayout w:type="fixed"/>
        <w:tblLook w:firstRow="0" w:lastRow="0" w:firstColumn="0" w:lastColumn="0" w:noHBand="0" w:noVBand="0" w:val="0000"/>
      </w:tblPr>
      <w:tblGrid>
        <w:gridCol w:w="7920"/>
      </w:tblGrid>
      <w:tr>
        <w:tc>
          <w:tcPr/>
          <w:bookmarkStart w:id="13" w:name="fig-sw-arch"/>
          <w:p>
            <w:pPr>
              <w:pStyle w:val="Compact"/>
              <w:jc w:val="center"/>
            </w:pPr>
            <w:r>
              <w:drawing>
                <wp:inline>
                  <wp:extent cx="3810000" cy="2540000"/>
                  <wp:effectExtent b="0" l="0" r="0" t="0"/>
                  <wp:docPr descr="" title="" id="10" name="Picture"/>
                  <a:graphic>
                    <a:graphicData uri="http://schemas.openxmlformats.org/drawingml/2006/picture">
                      <pic:pic>
                        <pic:nvPicPr>
                          <pic:cNvPr descr="figs/sw_arch.svg" id="11" name="Picture"/>
                          <pic:cNvPicPr>
                            <a:picLocks noChangeArrowheads="1"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3810000" cy="2540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CalCOFI data workflow.</w:t>
            </w:r>
          </w:p>
          <w:bookmarkEnd w:id="13"/>
        </w:tc>
      </w:tr>
    </w:tbl>
    <w:p>
      <w:pPr>
        <w:pStyle w:val="BodyText"/>
      </w:pPr>
      <w:r>
        <w:t xml:space="preserve">The original raw</w:t>
      </w:r>
      <w:r>
        <w:t xml:space="preserve"> </w:t>
      </w:r>
      <w:r>
        <w:rPr>
          <w:b/>
          <w:bCs/>
        </w:rPr>
        <w:t xml:space="preserve">data</w:t>
      </w:r>
      <w:r>
        <w:t xml:space="preserve">, most often in tabular format [e.g., comma-separated value (*.csv)], gets</w:t>
      </w:r>
      <w:r>
        <w:t xml:space="preserve"> </w:t>
      </w:r>
      <w:r>
        <w:rPr>
          <w:b/>
          <w:bCs/>
        </w:rPr>
        <w:t xml:space="preserve">ingest</w:t>
      </w:r>
      <w:r>
        <w:t xml:space="preserve">ed into the</w:t>
      </w:r>
      <w:r>
        <w:t xml:space="preserve"> </w:t>
      </w:r>
      <w:r>
        <w:rPr>
          <w:b/>
          <w:bCs/>
        </w:rPr>
        <w:t xml:space="preserve">database</w:t>
      </w:r>
      <w:r>
        <w:t xml:space="preserve"> </w:t>
      </w:r>
      <w:r>
        <w:t xml:space="preserve">by R</w:t>
      </w:r>
      <w:r>
        <w:t xml:space="preserve"> </w:t>
      </w:r>
      <w:hyperlink r:id="rId14">
        <w:r>
          <w:rPr>
            <w:rStyle w:val="Hyperlink"/>
          </w:rPr>
          <w:t xml:space="preserve">scripts</w:t>
        </w:r>
      </w:hyperlink>
      <w:r>
        <w:t xml:space="preserve"> </w:t>
      </w:r>
      <w:r>
        <w:t xml:space="preserve">that use functions and lookup data tables in the R package</w:t>
      </w:r>
      <w:r>
        <w:t xml:space="preserve"> </w:t>
      </w:r>
      <w:hyperlink r:id="rId15">
        <w:r>
          <w:rPr>
            <w:rStyle w:val="VerbatimChar"/>
            <w:b/>
            <w:bCs/>
          </w:rPr>
          <w:t xml:space="preserve">calcofi4r</w:t>
        </w:r>
      </w:hyperlink>
      <w:r>
        <w:t xml:space="preserve"> </w:t>
      </w:r>
      <w:r>
        <w:t xml:space="preserve">where functions are organized into</w:t>
      </w:r>
      <w:r>
        <w:t xml:space="preserve"> </w:t>
      </w:r>
      <w:r>
        <w:rPr>
          <w:i/>
          <w:iCs/>
        </w:rPr>
        <w:t xml:space="preserve">Read</w:t>
      </w:r>
      <w:r>
        <w:t xml:space="preserve">,</w:t>
      </w:r>
      <w:r>
        <w:t xml:space="preserve"> </w:t>
      </w:r>
      <w:r>
        <w:rPr>
          <w:i/>
          <w:iCs/>
        </w:rPr>
        <w:t xml:space="preserve">Analyze</w:t>
      </w:r>
      <w:r>
        <w:t xml:space="preserve"> </w:t>
      </w:r>
      <w:r>
        <w:t xml:space="preserve">and</w:t>
      </w:r>
      <w:r>
        <w:t xml:space="preserve"> </w:t>
      </w:r>
      <w:r>
        <w:rPr>
          <w:i/>
          <w:iCs/>
        </w:rPr>
        <w:t xml:space="preserve">Visualize</w:t>
      </w:r>
      <w:r>
        <w:t xml:space="preserve"> </w:t>
      </w:r>
      <w:r>
        <w:t xml:space="preserve">concepts. The application programming interface (</w:t>
      </w:r>
      <w:r>
        <w:rPr>
          <w:b/>
          <w:bCs/>
        </w:rPr>
        <w:t xml:space="preserve">API</w:t>
      </w:r>
      <w:r>
        <w:t xml:space="preserve">) provides a program-language-agnostic public interface for rendering subsets of data and custom visualizations given a set of documented input parameters for feeding interactive applications (</w:t>
      </w:r>
      <w:r>
        <w:rPr>
          <w:b/>
          <w:bCs/>
        </w:rPr>
        <w:t xml:space="preserve">Apps</w:t>
      </w:r>
      <w:r>
        <w:t xml:space="preserve">) using Shiny (or any other web application framework) and</w:t>
      </w:r>
      <w:r>
        <w:t xml:space="preserve"> </w:t>
      </w:r>
      <w:r>
        <w:rPr>
          <w:b/>
          <w:bCs/>
        </w:rPr>
        <w:t xml:space="preserve">reports</w:t>
      </w:r>
      <w:r>
        <w:t xml:space="preserve"> </w:t>
      </w:r>
      <w:r>
        <w:t xml:space="preserve">using Rmarkdown (or any other report templating framework). Finally, R scripts will</w:t>
      </w:r>
      <w:r>
        <w:t xml:space="preserve"> </w:t>
      </w:r>
      <w:r>
        <w:rPr>
          <w:b/>
          <w:bCs/>
        </w:rPr>
        <w:t xml:space="preserve">publish</w:t>
      </w:r>
      <w:r>
        <w:t xml:space="preserve"> </w:t>
      </w:r>
      <w:r>
        <w:t xml:space="preserve">metadata (as</w:t>
      </w:r>
      <w:r>
        <w:t xml:space="preserve"> </w:t>
      </w:r>
      <w:hyperlink r:id="rId16">
        <w:r>
          <w:rPr>
            <w:rStyle w:val="Hyperlink"/>
          </w:rPr>
          <w:t xml:space="preserve">Ecological Metadata Language</w:t>
        </w:r>
      </w:hyperlink>
      <w:r>
        <w:t xml:space="preserve">) and data packages (e.g., in Darwin format) for discovery on a variety of data</w:t>
      </w:r>
      <w:r>
        <w:t xml:space="preserve"> </w:t>
      </w:r>
      <w:r>
        <w:rPr>
          <w:b/>
          <w:bCs/>
          <w:i/>
          <w:iCs/>
        </w:rPr>
        <w:t xml:space="preserve">portals</w:t>
      </w:r>
      <w:r>
        <w:t xml:space="preserve"> </w:t>
      </w:r>
      <w:r>
        <w:t xml:space="preserve">oriented around slicing the tabular or gridded data (</w:t>
      </w:r>
      <w:hyperlink r:id="rId17">
        <w:r>
          <w:rPr>
            <w:rStyle w:val="Hyperlink"/>
          </w:rPr>
          <w:t xml:space="preserve">ERDDAP</w:t>
        </w:r>
      </w:hyperlink>
      <w:r>
        <w:t xml:space="preserve">), biogeographic analysis (</w:t>
      </w:r>
      <w:hyperlink r:id="rId18">
        <w:r>
          <w:rPr>
            <w:rStyle w:val="Hyperlink"/>
          </w:rPr>
          <w:t xml:space="preserve">OBIS</w:t>
        </w:r>
      </w:hyperlink>
      <w:r>
        <w:t xml:space="preserve">), long-term archive (</w:t>
      </w:r>
      <w:hyperlink r:id="rId19">
        <w:r>
          <w:rPr>
            <w:rStyle w:val="Hyperlink"/>
          </w:rPr>
          <w:t xml:space="preserve">DataOne</w:t>
        </w:r>
      </w:hyperlink>
      <w:r>
        <w:t xml:space="preserve">,</w:t>
      </w:r>
      <w:r>
        <w:t xml:space="preserve"> </w:t>
      </w:r>
      <w:hyperlink r:id="rId20">
        <w:r>
          <w:rPr>
            <w:rStyle w:val="Hyperlink"/>
          </w:rPr>
          <w:t xml:space="preserve">NCEI</w:t>
        </w:r>
      </w:hyperlink>
      <w:r>
        <w:t xml:space="preserve">) or metadata discovery (</w:t>
      </w:r>
      <w:hyperlink r:id="rId21">
        <w:r>
          <w:rPr>
            <w:rStyle w:val="Hyperlink"/>
          </w:rPr>
          <w:t xml:space="preserve">InPort</w:t>
        </w:r>
      </w:hyperlink>
      <w:r>
        <w:t xml:space="preserve">). The</w:t>
      </w:r>
      <w:r>
        <w:t xml:space="preserve"> </w:t>
      </w:r>
      <w:r>
        <w:rPr>
          <w:b/>
          <w:bCs/>
        </w:rPr>
        <w:t xml:space="preserve">database</w:t>
      </w:r>
      <w:r>
        <w:t xml:space="preserve"> </w:t>
      </w:r>
      <w:r>
        <w:t xml:space="preserve">will be spatially enabled by PostGIS for summarizing any and all data by</w:t>
      </w:r>
      <w:r>
        <w:t xml:space="preserve"> </w:t>
      </w:r>
      <w:r>
        <w:rPr>
          <w:b/>
          <w:bCs/>
          <w:i/>
          <w:iCs/>
        </w:rPr>
        <w:t xml:space="preserve">Areas of Interest</w:t>
      </w:r>
      <w:r>
        <w:t xml:space="preserve"> </w:t>
      </w:r>
      <w:r>
        <w:t xml:space="preserve">(AoIs), whether pre-defined (e.g., sanctuaries, MPAs, counties, etc.) or arbitrary new areas. (</w:t>
      </w:r>
      <w:hyperlink w:anchor="fig-sw-arch">
        <w:r>
          <w:rPr>
            <w:rStyle w:val="Hyperlink"/>
          </w:rPr>
          <w:t xml:space="preserve">Figure 1.1</w:t>
        </w:r>
      </w:hyperlink>
      <w:r>
        <w:t xml:space="preserve">)</w:t>
      </w:r>
    </w:p>
    <w:bookmarkEnd w:id="22"/>
    <w:bookmarkStart w:id="27" w:name="reports"/>
    <w:p>
      <w:pPr>
        <w:pStyle w:val="Heading1"/>
      </w:pPr>
      <w:r>
        <w:t xml:space="preserve">2. Reports</w:t>
      </w:r>
    </w:p>
    <w:bookmarkStart w:id="26" w:name="sanctuaries"/>
    <w:p>
      <w:pPr>
        <w:pStyle w:val="Heading2"/>
      </w:pPr>
      <w:r>
        <w:t xml:space="preserve">2.1 Sanctuaries</w:t>
      </w:r>
    </w:p>
    <w:p>
      <w:pPr>
        <w:pStyle w:val="Compact"/>
        <w:numPr>
          <w:ilvl w:val="0"/>
          <w:numId w:val="1001"/>
        </w:numPr>
      </w:pPr>
      <w:hyperlink r:id="rId23">
        <w:r>
          <w:rPr>
            <w:rStyle w:val="Hyperlink"/>
          </w:rPr>
          <w:t xml:space="preserve">Channel Islands WebCR</w:t>
        </w:r>
      </w:hyperlink>
      <w:r>
        <w:br/>
      </w:r>
      <w:r>
        <w:t xml:space="preserve">web-enabled Condition Report</w:t>
      </w:r>
    </w:p>
    <w:p>
      <w:pPr>
        <w:pStyle w:val="Compact"/>
        <w:numPr>
          <w:ilvl w:val="1"/>
          <w:numId w:val="1002"/>
        </w:numPr>
      </w:pPr>
      <w:hyperlink r:id="rId24">
        <w:r>
          <w:rPr>
            <w:rStyle w:val="Hyperlink"/>
          </w:rPr>
          <w:t xml:space="preserve">Forage Fish</w:t>
        </w:r>
      </w:hyperlink>
      <w:r>
        <w:br/>
      </w:r>
      <w:r>
        <w:t xml:space="preserve">example of using calcofi4r functions that pull from the API</w:t>
      </w:r>
    </w:p>
    <w:p>
      <w:pPr>
        <w:pStyle w:val="Compact"/>
        <w:numPr>
          <w:ilvl w:val="0"/>
          <w:numId w:val="1001"/>
        </w:numPr>
      </w:pPr>
      <w:hyperlink r:id="rId25">
        <w:r>
          <w:rPr>
            <w:rStyle w:val="Hyperlink"/>
          </w:rPr>
          <w:t xml:space="preserve">UCSB Student Capstone</w:t>
        </w:r>
      </w:hyperlink>
    </w:p>
    <w:bookmarkEnd w:id="26"/>
    <w:bookmarkEnd w:id="27"/>
    <w:bookmarkStart w:id="29" w:name="applications"/>
    <w:p>
      <w:pPr>
        <w:pStyle w:val="Heading1"/>
      </w:pPr>
      <w:r>
        <w:t xml:space="preserve">3. Applications</w:t>
      </w:r>
    </w:p>
    <w:p>
      <w:pPr>
        <w:pStyle w:val="Compact"/>
        <w:numPr>
          <w:ilvl w:val="0"/>
          <w:numId w:val="1003"/>
        </w:numPr>
      </w:pPr>
      <w:hyperlink r:id="rId28">
        <w:r>
          <w:rPr>
            <w:rStyle w:val="Hyperlink"/>
          </w:rPr>
          <w:t xml:space="preserve">CalCOFI Oceanography</w:t>
        </w:r>
      </w:hyperlink>
      <w:r>
        <w:br/>
      </w:r>
      <w:r>
        <w:t xml:space="preserve">oceanographic summarization by arbitrary area of interest and sampling period</w:t>
      </w:r>
    </w:p>
    <w:p>
      <w:pPr>
        <w:pStyle w:val="Compact"/>
        <w:numPr>
          <w:ilvl w:val="0"/>
          <w:numId w:val="1003"/>
        </w:numPr>
      </w:pPr>
      <w:hyperlink r:id="rId25">
        <w:r>
          <w:rPr>
            <w:rStyle w:val="Hyperlink"/>
          </w:rPr>
          <w:t xml:space="preserve">UCSB Student Capstone</w:t>
        </w:r>
      </w:hyperlink>
    </w:p>
    <w:bookmarkEnd w:id="29"/>
    <w:bookmarkStart w:id="72" w:name="sec-maps"/>
    <w:p>
      <w:pPr>
        <w:pStyle w:val="Heading1"/>
      </w:pPr>
      <w:r>
        <w:t xml:space="preserve">4. Maps</w:t>
      </w:r>
    </w:p>
    <w:bookmarkStart w:id="36" w:name="overview"/>
    <w:p>
      <w:pPr>
        <w:pStyle w:val="Heading2"/>
      </w:pPr>
      <w:r>
        <w:t xml:space="preserve">4.1 Overview</w:t>
      </w:r>
    </w:p>
    <w:p>
      <w:pPr>
        <w:pStyle w:val="FirstParagraph"/>
      </w:pPr>
      <w:r>
        <w:t xml:space="preserve">The CalCOFI</w:t>
      </w:r>
      <w:r>
        <w:t xml:space="preserve"> </w:t>
      </w:r>
      <w:hyperlink r:id="rId30">
        <w:r>
          <w:rPr>
            <w:rStyle w:val="Hyperlink"/>
          </w:rPr>
          <w:t xml:space="preserve">interactive app</w:t>
        </w:r>
      </w:hyperlink>
      <w:r>
        <w:t xml:space="preserve"> </w:t>
      </w:r>
      <w:r>
        <w:t xml:space="preserve">renders</w:t>
      </w:r>
      <w:r>
        <w:t xml:space="preserve"> </w:t>
      </w:r>
      <w:r>
        <w:rPr>
          <w:b/>
          <w:bCs/>
        </w:rPr>
        <w:t xml:space="preserve">hexagonal heatmaps</w:t>
      </w:r>
      <w:r>
        <w:t xml:space="preserve"> </w:t>
      </w:r>
      <w:r>
        <w:t xml:space="preserve">of species occurrence and oceanographic variables — sardine larvae densities, sea-surface temperature, salinity, chlorophyll — across the entire CalCOFI sampling area, at any zoom level, in seconds. The engine that makes this possible is</w:t>
      </w:r>
      <w:r>
        <w:t xml:space="preserve"> </w:t>
      </w:r>
      <w:r>
        <w:rPr>
          <w:b/>
          <w:bCs/>
        </w:rPr>
        <w:t xml:space="preserve">H3T</w:t>
      </w:r>
      <w:r>
        <w:t xml:space="preserve">, a tile service that converts a database query into a stream of hexagon tiles on demand.</w:t>
      </w:r>
    </w:p>
    <w:tbl>
      <w:tblPr>
        <w:tblStyle w:val="Table"/>
        <w:tblW w:type="pct" w:w="5000"/>
        <w:tblLayout w:type="fixed"/>
        <w:tblLook w:firstRow="0" w:lastRow="0" w:firstColumn="0" w:lastColumn="0" w:noHBand="0" w:noVBand="0" w:val="0000"/>
      </w:tblPr>
      <w:tblGrid>
        <w:gridCol w:w="7920"/>
      </w:tblGrid>
      <w:tr>
        <w:tc>
          <w:tcPr/>
          <w:bookmarkStart w:id="35" w:name="fig-int-app-compare"/>
          <w:p>
            <w:pPr>
              <w:pStyle w:val="Compact"/>
              <w:jc w:val="center"/>
            </w:pPr>
            <w:r>
              <w:drawing>
                <wp:inline>
                  <wp:extent cx="5334000" cy="3018971"/>
                  <wp:effectExtent b="0" l="0" r="0" t="0"/>
                  <wp:docPr descr="" title="" id="32" name="Picture"/>
                  <a:graphic>
                    <a:graphicData uri="http://schemas.openxmlformats.org/drawingml/2006/picture">
                      <pic:pic>
                        <pic:nvPicPr>
                          <pic:cNvPr descr="figs/int-app_map-compare-bio-env.png" id="33" name="Picture"/>
                          <pic:cNvPicPr>
                            <a:picLocks noChangeArrowheads="1" noChangeAspect="1"/>
                          </pic:cNvPicPr>
                        </pic:nvPicPr>
                        <pic:blipFill>
                          <a:blip r:embed="rId31"/>
                          <a:stretch>
                            <a:fillRect/>
                          </a:stretch>
                        </pic:blipFill>
                        <pic:spPr bwMode="auto">
                          <a:xfrm>
                            <a:off x="0" y="0"/>
                            <a:ext cx="5334000" cy="3018971"/>
                          </a:xfrm>
                          <a:prstGeom prst="rect">
                            <a:avLst/>
                          </a:prstGeom>
                          <a:noFill/>
                          <a:ln w="9525">
                            <a:noFill/>
                            <a:headEnd/>
                            <a:tailEnd/>
                          </a:ln>
                        </pic:spPr>
                      </pic:pic>
                    </a:graphicData>
                  </a:graphic>
                </wp:inline>
              </w:drawing>
            </w:r>
          </w:p>
          <w:p>
            <w:pPr>
              <w:jc w:val="center"/>
            </w:pPr>
            <w:pPr>
              <w:jc w:val="left"/>
              <w:spacing w:before="200"/>
              <w:pStyle w:val="ImageCaption"/>
            </w:pPr>
            <w:r>
              <w:t xml:space="preserve">Figure 4.1: Side-by-side comparison in the</w:t>
            </w:r>
            <w:r>
              <w:t xml:space="preserve"> </w:t>
            </w:r>
            <w:hyperlink r:id="rId34">
              <w:r>
                <w:rPr>
                  <w:rStyle w:val="Hyperlink"/>
                </w:rPr>
                <w:t xml:space="preserve">CalCOFI Integrated App</w:t>
              </w:r>
            </w:hyperlink>
            <w:r>
              <w:t xml:space="preserve">: hexagons summarizing</w:t>
            </w:r>
            <w:r>
              <w:t xml:space="preserve"> </w:t>
            </w:r>
            <w:r>
              <w:rPr>
                <w:b/>
                <w:bCs/>
              </w:rPr>
              <w:t xml:space="preserve">biology</w:t>
            </w:r>
            <w:r>
              <w:t xml:space="preserve"> </w:t>
            </w:r>
            <w:r>
              <w:t xml:space="preserve">(Pacific sardine larvae abundance, left) and</w:t>
            </w:r>
            <w:r>
              <w:t xml:space="preserve"> </w:t>
            </w:r>
            <w:r>
              <w:rPr>
                <w:b/>
                <w:bCs/>
              </w:rPr>
              <w:t xml:space="preserve">environment</w:t>
            </w:r>
            <w:r>
              <w:t xml:space="preserve"> </w:t>
            </w:r>
            <w:r>
              <w:t xml:space="preserve">(sea-surface temperature, right) over the same area, era, and quarters, with a swipeable divider for direct visual comparison. Both layers are powered by the H3T tile service.</w:t>
            </w:r>
          </w:p>
          <w:bookmarkEnd w:id="35"/>
        </w:tc>
      </w:tr>
    </w:tbl>
    <w:p>
      <w:pPr>
        <w:pStyle w:val="BodyText"/>
      </w:pPr>
      <w:r>
        <w:t xml:space="preserve">This chapter explains how H3T works, visually, for both the curious oceanographer and the developer who wants to extend it. Throughout, the guiding principle is:</w:t>
      </w:r>
    </w:p>
    <w:p>
      <w:pPr>
        <w:pStyle w:val="BlockText"/>
      </w:pPr>
      <w:r>
        <w:rPr>
          <w:b/>
          <w:bCs/>
        </w:rPr>
        <w:t xml:space="preserve">DuckDB is the single source of truth.</w:t>
      </w:r>
      <w:r>
        <w:t xml:space="preserve"> </w:t>
      </w:r>
      <w:r>
        <w:t xml:space="preserve">H3T tiles are a performance layer built on top of it — never an authoritative copy of the data.</w:t>
      </w:r>
    </w:p>
    <w:bookmarkEnd w:id="36"/>
    <w:bookmarkStart w:id="38" w:name="why-hexagons"/>
    <w:p>
      <w:pPr>
        <w:pStyle w:val="Heading2"/>
      </w:pPr>
      <w:r>
        <w:t xml:space="preserve">4.2 Why hexagons?</w:t>
      </w:r>
    </w:p>
    <w:p>
      <w:pPr>
        <w:pStyle w:val="FirstParagraph"/>
      </w:pPr>
      <w:r>
        <w:t xml:space="preserve">H3 is</w:t>
      </w:r>
      <w:r>
        <w:t xml:space="preserve"> </w:t>
      </w:r>
      <w:hyperlink r:id="rId37">
        <w:r>
          <w:rPr>
            <w:rStyle w:val="Hyperlink"/>
          </w:rPr>
          <w:t xml:space="preserve">Uber’s hexagonal hierarchical geospatial index</w:t>
        </w:r>
      </w:hyperlink>
      <w:r>
        <w:t xml:space="preserve">. Each cell is a hexagon, and every cell at resolution</w:t>
      </w:r>
      <w:r>
        <w:t xml:space="preserve"> </w:t>
      </w:r>
      <w:r>
        <w:rPr>
          <w:i/>
          <w:iCs/>
        </w:rPr>
        <w:t xml:space="preserve">N</w:t>
      </w:r>
      <w:r>
        <w:t xml:space="preserve"> </w:t>
      </w:r>
      <w:r>
        <w:t xml:space="preserve">nests neatly inside one parent cell at resolution</w:t>
      </w:r>
      <w:r>
        <w:t xml:space="preserve"> </w:t>
      </w:r>
      <w:r>
        <w:rPr>
          <w:i/>
          <w:iCs/>
        </w:rPr>
        <w:t xml:space="preserve">N − 1</w:t>
      </w:r>
      <w:r>
        <w:t xml:space="preserve">. Hexagons have three useful properties for ecological data:</w:t>
      </w:r>
    </w:p>
    <w:p>
      <w:pPr>
        <w:pStyle w:val="Compact"/>
        <w:numPr>
          <w:ilvl w:val="0"/>
          <w:numId w:val="1004"/>
        </w:numPr>
      </w:pPr>
      <w:r>
        <w:rPr>
          <w:b/>
          <w:bCs/>
        </w:rPr>
        <w:t xml:space="preserve">Equal area at a given resolution</w:t>
      </w:r>
      <w:r>
        <w:t xml:space="preserve">, so densities are directly comparable across the map.</w:t>
      </w:r>
    </w:p>
    <w:p>
      <w:pPr>
        <w:pStyle w:val="Compact"/>
        <w:numPr>
          <w:ilvl w:val="0"/>
          <w:numId w:val="1004"/>
        </w:numPr>
      </w:pPr>
      <w:r>
        <w:rPr>
          <w:b/>
          <w:bCs/>
        </w:rPr>
        <w:t xml:space="preserve">Every neighbor is the same distance away</w:t>
      </w:r>
      <w:r>
        <w:t xml:space="preserve"> </w:t>
      </w:r>
      <w:r>
        <w:t xml:space="preserve">(unlike a square grid, which has both edge and corner neighbors).</w:t>
      </w:r>
    </w:p>
    <w:p>
      <w:pPr>
        <w:pStyle w:val="Compact"/>
        <w:numPr>
          <w:ilvl w:val="0"/>
          <w:numId w:val="1004"/>
        </w:numPr>
      </w:pPr>
      <w:r>
        <w:rPr>
          <w:b/>
          <w:bCs/>
        </w:rPr>
        <w:t xml:space="preserve">No latitude distortion</w:t>
      </w:r>
      <w:r>
        <w:t xml:space="preserve"> </w:t>
      </w:r>
      <w:r>
        <w:t xml:space="preserve">— a res-5 hex off Point Conception covers the same area as a res-5 hex off Cabo San Lucas.</w:t>
      </w:r>
    </w:p>
    <w:p>
      <w:pPr>
        <w:pStyle w:val="FirstParagraph"/>
      </w:pPr>
      <w:r>
        <w:t xml:space="preserve">Compared to a raster of pixels, hexagons aggregate point observations (a net tow, a CTD cast, a larvae count) without imposing an arbitrary north–south orientation, and the parent–child nesting lets the same dataset render coarsely when you’re zoomed out and finely when you’re zoomed in.</w:t>
      </w:r>
    </w:p>
    <w:bookmarkEnd w:id="38"/>
    <w:bookmarkStart w:id="40" w:name="Xda00485f2b22f112a385104e16f03b1e0ec38a9"/>
    <w:p>
      <w:pPr>
        <w:pStyle w:val="Heading2"/>
      </w:pPr>
      <w:r>
        <w:t xml:space="preserve">4.3 The problem: aggregating millions of points at every zoom</w:t>
      </w:r>
    </w:p>
    <w:p>
      <w:pPr>
        <w:pStyle w:val="FirstParagraph"/>
      </w:pPr>
      <w:r>
        <w:t xml:space="preserve">Before H3T, the int-app pre-computed every hex aggregation across</w:t>
      </w:r>
      <w:r>
        <w:t xml:space="preserve"> </w:t>
      </w:r>
      <w:r>
        <w:rPr>
          <w:b/>
          <w:bCs/>
        </w:rPr>
        <w:t xml:space="preserve">all 10 H3 resolutions</w:t>
      </w:r>
      <w:r>
        <w:t xml:space="preserve"> </w:t>
      </w:r>
      <w:r>
        <w:t xml:space="preserve">for every species and environmental variable at startup. The Shiny app then shipped the relevant resolution to the browser for each zoom change. This gave the app two problems:</w:t>
      </w:r>
    </w:p>
    <w:p>
      <w:pPr>
        <w:pStyle w:val="Compact"/>
        <w:numPr>
          <w:ilvl w:val="0"/>
          <w:numId w:val="1005"/>
        </w:numPr>
      </w:pPr>
      <w:r>
        <w:rPr>
          <w:b/>
          <w:bCs/>
        </w:rPr>
        <w:t xml:space="preserve">Slow startup.</w:t>
      </w:r>
      <w:r>
        <w:t xml:space="preserve"> </w:t>
      </w:r>
      <w:r>
        <w:t xml:space="preserve">Building those aggregations against the full bottle and ichthyo tables took &gt;10 s every time the app launched.</w:t>
      </w:r>
    </w:p>
    <w:p>
      <w:pPr>
        <w:pStyle w:val="Compact"/>
        <w:numPr>
          <w:ilvl w:val="0"/>
          <w:numId w:val="1005"/>
        </w:numPr>
      </w:pPr>
      <w:r>
        <w:rPr>
          <w:b/>
          <w:bCs/>
        </w:rPr>
        <w:t xml:space="preserve">Heavy memory.</w:t>
      </w:r>
      <w:r>
        <w:t xml:space="preserve"> </w:t>
      </w:r>
      <w:r>
        <w:t xml:space="preserve">A multi-resolution</w:t>
      </w:r>
      <w:r>
        <w:t xml:space="preserve"> </w:t>
      </w:r>
      <w:r>
        <w:rPr>
          <w:rStyle w:val="VerbatimChar"/>
        </w:rPr>
        <w:t xml:space="preserve">sf</w:t>
      </w:r>
      <w:r>
        <w:t xml:space="preserve"> </w:t>
      </w:r>
      <w:r>
        <w:t xml:space="preserve">grid for one variable is hundreds of megabytes; for dozens of variables it crowded out everything else on the Shiny server.</w:t>
      </w:r>
    </w:p>
    <w:p>
      <w:pPr>
        <w:pStyle w:val="FirstParagraph"/>
      </w:pPr>
      <w:r>
        <w:t xml:space="preserve">This is the same class of problem that the</w:t>
      </w:r>
      <w:r>
        <w:t xml:space="preserve"> </w:t>
      </w:r>
      <w:hyperlink r:id="rId39">
        <w:r>
          <w:rPr>
            <w:rStyle w:val="Hyperlink"/>
          </w:rPr>
          <w:t xml:space="preserve">MarineSensitivity stack</w:t>
        </w:r>
      </w:hyperlink>
      <w:r>
        <w:t xml:space="preserve"> </w:t>
      </w:r>
      <w:r>
        <w:t xml:space="preserve">solved for rasters with a TiTiler factory + Varnish cache. H3T is the equivalent move for</w:t>
      </w:r>
      <w:r>
        <w:t xml:space="preserve"> </w:t>
      </w:r>
      <w:r>
        <w:rPr>
          <w:b/>
          <w:bCs/>
        </w:rPr>
        <w:t xml:space="preserve">hexagons</w:t>
      </w:r>
      <w:r>
        <w:t xml:space="preserve">.</w:t>
      </w:r>
    </w:p>
    <w:bookmarkEnd w:id="40"/>
    <w:bookmarkStart w:id="59" w:name="Xc3985666341f3b289c8efa7d9f271fe133fb99a"/>
    <w:p>
      <w:pPr>
        <w:pStyle w:val="Heading2"/>
      </w:pPr>
      <w:r>
        <w:t xml:space="preserve">4.4 The solution: query-as-URL hexagonal tiles</w:t>
      </w:r>
    </w:p>
    <w:p>
      <w:pPr>
        <w:pStyle w:val="FirstParagraph"/>
      </w:pPr>
      <w:r>
        <w:t xml:space="preserve">The architecture rests on three ideas, each covered below: the H3 resolution that’s served depends on the zoom level; the entire tile request lifecycle is fronted by a cache; and a</w:t>
      </w:r>
      <w:r>
        <w:t xml:space="preserve"> </w:t>
      </w:r>
      <w:r>
        <w:rPr>
          <w:rStyle w:val="VerbatimChar"/>
        </w:rPr>
        <w:t xml:space="preserve">release</w:t>
      </w:r>
      <w:r>
        <w:t xml:space="preserve"> </w:t>
      </w:r>
      <w:r>
        <w:t xml:space="preserve">parameter handles cache invalidation automatically when new data drops.</w:t>
      </w:r>
    </w:p>
    <w:bookmarkStart w:id="46" w:name="resolution-follows-zoom"/>
    <w:p>
      <w:pPr>
        <w:pStyle w:val="Heading3"/>
      </w:pPr>
      <w:r>
        <w:t xml:space="preserve">4.4.1 Resolution follows zoom</w:t>
      </w:r>
    </w:p>
    <w:p>
      <w:pPr>
        <w:pStyle w:val="FirstParagraph"/>
      </w:pPr>
      <w:r>
        <w:t xml:space="preserve">When the user zooms out to see the whole California Current, they don’t need 7-meter hexagons — a 22 km hex is finer than the underlying sampling grid anyway. When they zoom in to a single CalCOFI line, they want as much detail as the data supports. H3T maps web-map zoom levels to H3 resolutions on the server side: zoom 0–1 → res 1 (~1106 km hexes), zoom 5–7 → res 5 (~22 km hexes), zoom 11+ → res 10 (~7.5 m hexes), and so on (</w:t>
      </w:r>
      <w:hyperlink w:anchor="fig-h3-pyramid">
        <w:r>
          <w:rPr>
            <w:rStyle w:val="Hyperlink"/>
          </w:rPr>
          <w:t xml:space="preserve">Figure 4.2</w:t>
        </w:r>
      </w:hyperlink>
      <w:r>
        <w:t xml:space="preserve">).</w:t>
      </w:r>
    </w:p>
    <w:p>
      <w:pPr>
        <w:pStyle w:val="BodyText"/>
      </w:pPr>
      <w:r>
        <w:t xml:space="preserve">The trick is in the SQL: the int-app sends a</w:t>
      </w:r>
      <w:r>
        <w:t xml:space="preserve"> </w:t>
      </w:r>
      <w:r>
        <w:rPr>
          <w:b/>
          <w:bCs/>
        </w:rPr>
        <w:t xml:space="preserve">template</w:t>
      </w:r>
      <w:r>
        <w:t xml:space="preserve"> </w:t>
      </w:r>
      <w:r>
        <w:t xml:space="preserve">with a literal placeholder</w:t>
      </w:r>
      <w:r>
        <w:t xml:space="preserve"> </w:t>
      </w:r>
      <w:r>
        <w:rPr>
          <w:rStyle w:val="VerbatimChar"/>
        </w:rPr>
        <w:t xml:space="preserve">hex_h3res{{res}}</w:t>
      </w:r>
      <w:r>
        <w:t xml:space="preserve"> </w:t>
      </w:r>
      <w:r>
        <w:t xml:space="preserve">(see</w:t>
      </w:r>
      <w:r>
        <w:t xml:space="preserve"> </w:t>
      </w:r>
      <w:r>
        <w:rPr>
          <w:rStyle w:val="VerbatimChar"/>
        </w:rPr>
        <w:t xml:space="preserve">build_sp_sql()</w:t>
      </w:r>
      <w:r>
        <w:t xml:space="preserve"> </w:t>
      </w:r>
      <w:r>
        <w:t xml:space="preserve">in</w:t>
      </w:r>
      <w:r>
        <w:t xml:space="preserve"> </w:t>
      </w:r>
      <w:hyperlink r:id="rId41">
        <w:r>
          <w:rPr>
            <w:rStyle w:val="VerbatimChar"/>
          </w:rPr>
          <w:t xml:space="preserve">int-app/app/functions_h3t.R</w:t>
        </w:r>
      </w:hyperlink>
      <w:r>
        <w:t xml:space="preserve">), and the API substitutes the right resolution for each tile before executing. One query string, ten zoom levels, one shared cache namespace.</w:t>
      </w:r>
    </w:p>
    <w:tbl>
      <w:tblPr>
        <w:tblStyle w:val="Table"/>
        <w:tblW w:type="pct" w:w="5000"/>
        <w:tblLayout w:type="fixed"/>
        <w:tblLook w:firstRow="0" w:lastRow="0" w:firstColumn="0" w:lastColumn="0" w:noHBand="0" w:noVBand="0" w:val="0000"/>
      </w:tblPr>
      <w:tblGrid>
        <w:gridCol w:w="7920"/>
      </w:tblGrid>
      <w:tr>
        <w:tc>
          <w:tcPr/>
          <w:bookmarkStart w:id="45" w:name="fig-h3-pyramid"/>
          <w:p>
            <w:pPr>
              <w:jc w:val="center"/>
            </w:pPr>
            <w:r>
              <w:drawing>
                <wp:inline>
                  <wp:extent cx="5334000" cy="6377940"/>
                  <wp:effectExtent b="0" l="0" r="0" t="0"/>
                  <wp:docPr descr="" title="" id="43" name="Picture"/>
                  <a:graphic>
                    <a:graphicData uri="http://schemas.openxmlformats.org/drawingml/2006/picture">
                      <pic:pic>
                        <pic:nvPicPr>
                          <pic:cNvPr descr="maps_files/figure-docx/mermaid-figure-1.png" id="44" name="Picture"/>
                          <pic:cNvPicPr>
                            <a:picLocks noChangeArrowheads="1" noChangeAspect="1"/>
                          </pic:cNvPicPr>
                        </pic:nvPicPr>
                        <pic:blipFill>
                          <a:blip r:embed="rId42"/>
                          <a:stretch>
                            <a:fillRect/>
                          </a:stretch>
                        </pic:blipFill>
                        <pic:spPr bwMode="auto">
                          <a:xfrm>
                            <a:off x="0" y="0"/>
                            <a:ext cx="5334000" cy="6377940"/>
                          </a:xfrm>
                          <a:prstGeom prst="rect">
                            <a:avLst/>
                          </a:prstGeom>
                          <a:noFill/>
                          <a:ln w="9525">
                            <a:noFill/>
                            <a:headEnd/>
                            <a:tailEnd/>
                          </a:ln>
                        </pic:spPr>
                      </pic:pic>
                    </a:graphicData>
                  </a:graphic>
                </wp:inline>
              </w:drawing>
            </w:r>
          </w:p>
          <w:p>
            <w:pPr>
              <w:jc w:val="center"/>
            </w:pPr>
            <w:pPr>
              <w:jc w:val="left"/>
              <w:spacing w:before="200"/>
              <w:pStyle w:val="ImageCaption"/>
            </w:pPr>
            <w:r>
              <w:t xml:space="preserve">Figure 4.2: Web-map zoom level determines which H3 resolution the server returns. The same SQL template —</w:t>
            </w:r>
            <w:r>
              <w:t xml:space="preserve"> </w:t>
            </w:r>
            <w:r>
              <w:rPr>
                <w:rStyle w:val="VerbatimChar"/>
              </w:rPr>
              <w:t xml:space="preserve">hex_h3res{{res}}</w:t>
            </w:r>
            <w:r>
              <w:t xml:space="preserve"> </w:t>
            </w:r>
            <w:r>
              <w:t xml:space="preserve">— adapts to each tile by server-side substitution. Hexagons at finer resolutions nest inside their coarser parents, so the data hierarchy and the visual hierarchy stay aligned.</w:t>
            </w:r>
          </w:p>
          <w:bookmarkEnd w:id="45"/>
        </w:tc>
      </w:tr>
    </w:tbl>
    <w:bookmarkEnd w:id="46"/>
    <w:bookmarkStart w:id="52" w:name="request-lifecycle"/>
    <w:p>
      <w:pPr>
        <w:pStyle w:val="Heading3"/>
      </w:pPr>
      <w:r>
        <w:t xml:space="preserve">4.4.2 Request lifecycle</w:t>
      </w:r>
    </w:p>
    <w:p>
      <w:pPr>
        <w:pStyle w:val="FirstParagraph"/>
      </w:pPr>
      <w:r>
        <w:t xml:space="preserve">When the user pans or zooms, MapLibre asks for tiles. Each tile URL looks like this:</w:t>
      </w:r>
    </w:p>
    <w:p>
      <w:pPr>
        <w:pStyle w:val="SourceCode"/>
      </w:pPr>
      <w:r>
        <w:rPr>
          <w:rStyle w:val="VerbatimChar"/>
        </w:rPr>
        <w:t xml:space="preserve">h3tiles://h3t.calcofi.io/h3t/{z}/{x}/{y}.h3t?q=&lt;base64-SQL&gt;&amp;release=v2026.04.08</w:t>
      </w:r>
    </w:p>
    <w:p>
      <w:pPr>
        <w:pStyle w:val="FirstParagraph"/>
      </w:pPr>
      <w:r>
        <w:t xml:space="preserve">The clever bit is the</w:t>
      </w:r>
      <w:r>
        <w:t xml:space="preserve"> </w:t>
      </w:r>
      <w:r>
        <w:rPr>
          <w:rStyle w:val="VerbatimChar"/>
        </w:rPr>
        <w:t xml:space="preserve">q</w:t>
      </w:r>
      <w:r>
        <w:t xml:space="preserve"> </w:t>
      </w:r>
      <w:r>
        <w:t xml:space="preserve">parameter: it’s the entire</w:t>
      </w:r>
      <w:r>
        <w:t xml:space="preserve"> </w:t>
      </w:r>
      <w:r>
        <w:rPr>
          <w:rStyle w:val="VerbatimChar"/>
        </w:rPr>
        <w:t xml:space="preserve">SELECT</w:t>
      </w:r>
      <w:r>
        <w:t xml:space="preserve"> </w:t>
      </w:r>
      <w:r>
        <w:t xml:space="preserve">statement, base64-encoded with URL-safe characters (RFC 4648 §5). That means</w:t>
      </w:r>
      <w:r>
        <w:t xml:space="preserve"> </w:t>
      </w:r>
      <w:r>
        <w:rPr>
          <w:b/>
          <w:bCs/>
        </w:rPr>
        <w:t xml:space="preserve">the URL itself describes the data to render</w:t>
      </w:r>
      <w:r>
        <w:t xml:space="preserve">, so two users asking for</w:t>
      </w:r>
      <w:r>
        <w:t xml:space="preserve"> </w:t>
      </w:r>
      <w:r>
        <w:t xml:space="preserve">“average temperature for sardines, all quarters, 1949–2024”</w:t>
      </w:r>
      <w:r>
        <w:t xml:space="preserve"> </w:t>
      </w:r>
      <w:r>
        <w:t xml:space="preserve">hit the exact same cache entry — no session state, no server-side query registry.</w:t>
      </w:r>
    </w:p>
    <w:p>
      <w:pPr>
        <w:pStyle w:val="BodyText"/>
      </w:pPr>
      <w:r>
        <w:t xml:space="preserve">What happens next is shown in</w:t>
      </w:r>
      <w:r>
        <w:t xml:space="preserve"> </w:t>
      </w:r>
      <w:hyperlink w:anchor="fig-h3t-sequence">
        <w:r>
          <w:rPr>
            <w:rStyle w:val="Hyperlink"/>
          </w:rPr>
          <w:t xml:space="preserve">Figure 4.3</w:t>
        </w:r>
      </w:hyperlink>
      <w:r>
        <w:t xml:space="preserve">. Caddy terminates TLS and forwards to Varnish, which checks its cache. On a hit, the user gets back a chunk of h3j JSON in well under 100 ms. On a miss, Varnish forwards to the Plumber API, which:</w:t>
      </w:r>
    </w:p>
    <w:p>
      <w:pPr>
        <w:pStyle w:val="Compact"/>
        <w:numPr>
          <w:ilvl w:val="0"/>
          <w:numId w:val="1006"/>
        </w:numPr>
      </w:pPr>
      <w:r>
        <w:rPr>
          <w:b/>
          <w:bCs/>
        </w:rPr>
        <w:t xml:space="preserve">Decodes</w:t>
      </w:r>
      <w:r>
        <w:t xml:space="preserve"> </w:t>
      </w:r>
      <w:r>
        <w:t xml:space="preserve">the base64 SQL.</w:t>
      </w:r>
    </w:p>
    <w:p>
      <w:pPr>
        <w:pStyle w:val="Compact"/>
        <w:numPr>
          <w:ilvl w:val="0"/>
          <w:numId w:val="1006"/>
        </w:numPr>
      </w:pPr>
      <w:r>
        <w:rPr>
          <w:b/>
          <w:bCs/>
        </w:rPr>
        <w:t xml:space="preserve">Validates</w:t>
      </w:r>
      <w:r>
        <w:t xml:space="preserve"> </w:t>
      </w:r>
      <w:r>
        <w:t xml:space="preserve">it with</w:t>
      </w:r>
      <w:r>
        <w:t xml:space="preserve"> </w:t>
      </w:r>
      <w:hyperlink r:id="rId47">
        <w:r>
          <w:rPr>
            <w:rStyle w:val="VerbatimChar"/>
          </w:rPr>
          <w:t xml:space="preserve">sqlglot</w:t>
        </w:r>
      </w:hyperlink>
      <w:r>
        <w:t xml:space="preserve">: single statement, must be</w:t>
      </w:r>
      <w:r>
        <w:t xml:space="preserve"> </w:t>
      </w:r>
      <w:r>
        <w:rPr>
          <w:rStyle w:val="VerbatimChar"/>
        </w:rPr>
        <w:t xml:space="preserve">SELECT</w:t>
      </w:r>
      <w:r>
        <w:t xml:space="preserve"> </w:t>
      </w:r>
      <w:r>
        <w:t xml:space="preserve">(or</w:t>
      </w:r>
      <w:r>
        <w:t xml:space="preserve"> </w:t>
      </w:r>
      <w:r>
        <w:rPr>
          <w:rStyle w:val="VerbatimChar"/>
        </w:rPr>
        <w:t xml:space="preserve">WITH … SELECT</w:t>
      </w:r>
      <w:r>
        <w:t xml:space="preserve">), must project exactly</w:t>
      </w:r>
      <w:r>
        <w:t xml:space="preserve"> </w:t>
      </w:r>
      <w:r>
        <w:rPr>
          <w:rStyle w:val="VerbatimChar"/>
        </w:rPr>
        <w:t xml:space="preserve">cell_id, value, [n]</w:t>
      </w:r>
      <w:r>
        <w:t xml:space="preserve">, no</w:t>
      </w:r>
      <w:r>
        <w:t xml:space="preserve"> </w:t>
      </w:r>
      <w:r>
        <w:rPr>
          <w:rStyle w:val="VerbatimChar"/>
        </w:rPr>
        <w:t xml:space="preserve">read_csv</w:t>
      </w:r>
      <w:r>
        <w:t xml:space="preserve">/</w:t>
      </w:r>
      <w:r>
        <w:rPr>
          <w:rStyle w:val="VerbatimChar"/>
        </w:rPr>
        <w:t xml:space="preserve">attach</w:t>
      </w:r>
      <w:r>
        <w:t xml:space="preserve">/</w:t>
      </w:r>
      <w:r>
        <w:rPr>
          <w:rStyle w:val="VerbatimChar"/>
        </w:rPr>
        <w:t xml:space="preserve">load</w:t>
      </w:r>
      <w:r>
        <w:t xml:space="preserve">, no shell calls, no schema beyond the published tables.</w:t>
      </w:r>
    </w:p>
    <w:p>
      <w:pPr>
        <w:pStyle w:val="Compact"/>
        <w:numPr>
          <w:ilvl w:val="0"/>
          <w:numId w:val="1006"/>
        </w:numPr>
      </w:pPr>
      <w:r>
        <w:rPr>
          <w:b/>
          <w:bCs/>
        </w:rPr>
        <w:t xml:space="preserve">Substitutes</w:t>
      </w:r>
      <w:r>
        <w:t xml:space="preserve"> </w:t>
      </w:r>
      <w:r>
        <w:rPr>
          <w:rStyle w:val="VerbatimChar"/>
        </w:rPr>
        <w:t xml:space="preserve">{res}</w:t>
      </w:r>
      <w:r>
        <w:t xml:space="preserve"> </w:t>
      </w:r>
      <w:r>
        <w:t xml:space="preserve">from the zoom level and wraps the inner query in a viewport bounding-box filter.</w:t>
      </w:r>
    </w:p>
    <w:p>
      <w:pPr>
        <w:pStyle w:val="Compact"/>
        <w:numPr>
          <w:ilvl w:val="0"/>
          <w:numId w:val="1006"/>
        </w:numPr>
      </w:pPr>
      <w:r>
        <w:rPr>
          <w:b/>
          <w:bCs/>
        </w:rPr>
        <w:t xml:space="preserve">Executes</w:t>
      </w:r>
      <w:r>
        <w:t xml:space="preserve"> </w:t>
      </w:r>
      <w:r>
        <w:t xml:space="preserve">against a read-only DuckDB connection with a 3-second timeout and a 50,000-row cap.</w:t>
      </w:r>
    </w:p>
    <w:p>
      <w:pPr>
        <w:pStyle w:val="Compact"/>
        <w:numPr>
          <w:ilvl w:val="0"/>
          <w:numId w:val="1006"/>
        </w:numPr>
      </w:pPr>
      <w:r>
        <w:rPr>
          <w:b/>
          <w:bCs/>
        </w:rPr>
        <w:t xml:space="preserve">Formats</w:t>
      </w:r>
      <w:r>
        <w:t xml:space="preserve"> </w:t>
      </w:r>
      <w:r>
        <w:t xml:space="preserve">the result as h3j JSON:</w:t>
      </w:r>
      <w:r>
        <w:t xml:space="preserve"> </w:t>
      </w:r>
      <w:r>
        <w:rPr>
          <w:rStyle w:val="VerbatimChar"/>
        </w:rPr>
        <w:t xml:space="preserve">{"cells": [{"h3id": "8a1941a29a7ffff", "value": 12.37, "n": 42}, …]}</w:t>
      </w:r>
      <w:r>
        <w:t xml:space="preserve">.</w:t>
      </w:r>
    </w:p>
    <w:p>
      <w:pPr>
        <w:pStyle w:val="FirstParagraph"/>
      </w:pPr>
      <w:r>
        <w:t xml:space="preserve">The validation, read-only mode, timeout, and row cap are stacked guardrails: the public URL accepts arbitrary SQL because</w:t>
      </w:r>
      <w:r>
        <w:t xml:space="preserve"> </w:t>
      </w:r>
      <w:r>
        <w:rPr>
          <w:b/>
          <w:bCs/>
        </w:rPr>
        <w:t xml:space="preserve">none of the layers will let it do harm</w:t>
      </w:r>
      <w:r>
        <w:t xml:space="preserve">. Even if a determined actor slipped a malformed statement past sqlglot, the DuckDB connection has no write permission, no extension load, and a hard execution budget.</w:t>
      </w:r>
    </w:p>
    <w:tbl>
      <w:tblPr>
        <w:tblStyle w:val="Table"/>
        <w:tblW w:type="pct" w:w="5000"/>
        <w:tblLayout w:type="fixed"/>
        <w:tblLook w:firstRow="0" w:lastRow="0" w:firstColumn="0" w:lastColumn="0" w:noHBand="0" w:noVBand="0" w:val="0000"/>
      </w:tblPr>
      <w:tblGrid>
        <w:gridCol w:w="7920"/>
      </w:tblGrid>
      <w:tr>
        <w:tc>
          <w:tcPr/>
          <w:bookmarkStart w:id="51" w:name="fig-h3t-sequence"/>
          <w:p>
            <w:pPr>
              <w:jc w:val="center"/>
            </w:pPr>
            <w:r>
              <w:drawing>
                <wp:inline>
                  <wp:extent cx="5334000" cy="3802380"/>
                  <wp:effectExtent b="0" l="0" r="0" t="0"/>
                  <wp:docPr descr="" title="" id="49" name="Picture"/>
                  <a:graphic>
                    <a:graphicData uri="http://schemas.openxmlformats.org/drawingml/2006/picture">
                      <pic:pic>
                        <pic:nvPicPr>
                          <pic:cNvPr descr="maps_files/figure-docx/mermaid-figure-3.png" id="50" name="Picture"/>
                          <pic:cNvPicPr>
                            <a:picLocks noChangeArrowheads="1" noChangeAspect="1"/>
                          </pic:cNvPicPr>
                        </pic:nvPicPr>
                        <pic:blipFill>
                          <a:blip r:embed="rId48"/>
                          <a:stretch>
                            <a:fillRect/>
                          </a:stretch>
                        </pic:blipFill>
                        <pic:spPr bwMode="auto">
                          <a:xfrm>
                            <a:off x="0" y="0"/>
                            <a:ext cx="5334000" cy="3802380"/>
                          </a:xfrm>
                          <a:prstGeom prst="rect">
                            <a:avLst/>
                          </a:prstGeom>
                          <a:noFill/>
                          <a:ln w="9525">
                            <a:noFill/>
                            <a:headEnd/>
                            <a:tailEnd/>
                          </a:ln>
                        </pic:spPr>
                      </pic:pic>
                    </a:graphicData>
                  </a:graphic>
                </wp:inline>
              </w:drawing>
            </w:r>
          </w:p>
          <w:p>
            <w:pPr>
              <w:jc w:val="center"/>
            </w:pPr>
            <w:pPr>
              <w:jc w:val="left"/>
              <w:spacing w:before="200"/>
              <w:pStyle w:val="ImageCaption"/>
            </w:pPr>
            <w:r>
              <w:t xml:space="preserve">Figure 4.3: Tile request lifecycle. The browser asks for a tile by URL; Varnish caches identical URLs; on a miss, the Plumber API decodes and validates the SQL, runs it against a read-only DuckDB, and returns h3j-formatted hexagons. Validation + read-only DB + timeouts mean the public endpoint can accept arbitrary SQL safely.</w:t>
            </w:r>
          </w:p>
          <w:bookmarkEnd w:id="51"/>
        </w:tc>
      </w:tr>
    </w:tbl>
    <w:bookmarkEnd w:id="52"/>
    <w:bookmarkStart w:id="58" w:name="cache-invalidation-by-release"/>
    <w:p>
      <w:pPr>
        <w:pStyle w:val="Heading3"/>
      </w:pPr>
      <w:r>
        <w:t xml:space="preserve">4.4.3 Cache invalidation by release</w:t>
      </w:r>
    </w:p>
    <w:p>
      <w:pPr>
        <w:pStyle w:val="FirstParagraph"/>
      </w:pPr>
      <w:r>
        <w:t xml:space="preserve">Caches are easy to fill but notoriously hard to clear. H3T sidesteps the hard part entirely with a single trick: the</w:t>
      </w:r>
      <w:r>
        <w:t xml:space="preserve"> </w:t>
      </w:r>
      <w:r>
        <w:rPr>
          <w:rStyle w:val="VerbatimChar"/>
        </w:rPr>
        <w:t xml:space="preserve">release</w:t>
      </w:r>
      <w:r>
        <w:t xml:space="preserve"> </w:t>
      </w:r>
      <w:r>
        <w:t xml:space="preserve">query parameter (</w:t>
      </w:r>
      <w:hyperlink w:anchor="fig-h3t-release">
        <w:r>
          <w:rPr>
            <w:rStyle w:val="Hyperlink"/>
          </w:rPr>
          <w:t xml:space="preserve">Figure 4.4</w:t>
        </w:r>
      </w:hyperlink>
      <w:r>
        <w:t xml:space="preserve">).</w:t>
      </w:r>
    </w:p>
    <w:p>
      <w:pPr>
        <w:pStyle w:val="BodyText"/>
      </w:pPr>
      <w:r>
        <w:t xml:space="preserve">When CalCOFI publishes a new database release (e.g.,</w:t>
      </w:r>
      <w:r>
        <w:t xml:space="preserve"> </w:t>
      </w:r>
      <w:r>
        <w:rPr>
          <w:rStyle w:val="VerbatimChar"/>
        </w:rPr>
        <w:t xml:space="preserve">v2026.04.08</w:t>
      </w:r>
      <w:r>
        <w:t xml:space="preserve">, see</w:t>
      </w:r>
      <w:r>
        <w:t xml:space="preserve"> </w:t>
      </w:r>
      <w:hyperlink r:id="rId53">
        <w:r>
          <w:rPr>
            <w:rStyle w:val="Hyperlink"/>
          </w:rPr>
          <w:t xml:space="preserve">Database</w:t>
        </w:r>
      </w:hyperlink>
      <w:r>
        <w:t xml:space="preserve">), a symlink at the API server is swapped to point at the new file. The next time the int-app loads, it asks</w:t>
      </w:r>
      <w:r>
        <w:t xml:space="preserve"> </w:t>
      </w:r>
      <w:r>
        <w:rPr>
          <w:rStyle w:val="VerbatimChar"/>
        </w:rPr>
        <w:t xml:space="preserve">/h3t/meta</w:t>
      </w:r>
      <w:r>
        <w:t xml:space="preserve"> </w:t>
      </w:r>
      <w:r>
        <w:t xml:space="preserve">for the current release version, gets back</w:t>
      </w:r>
      <w:r>
        <w:t xml:space="preserve"> </w:t>
      </w:r>
      <w:r>
        <w:rPr>
          <w:rStyle w:val="VerbatimChar"/>
        </w:rPr>
        <w:t xml:space="preserve">v2026.04.08</w:t>
      </w:r>
      <w:r>
        <w:t xml:space="preserve">, and passes that into every subsequent tile URL. Because the URL is now different, Varnish</w:t>
      </w:r>
      <w:r>
        <w:t xml:space="preserve"> </w:t>
      </w:r>
      <w:r>
        <w:rPr>
          <w:b/>
          <w:bCs/>
        </w:rPr>
        <w:t xml:space="preserve">automatically cache-misses</w:t>
      </w:r>
      <w:r>
        <w:t xml:space="preserve"> </w:t>
      </w:r>
      <w:r>
        <w:t xml:space="preserve">— and the new tiles are generated against the fresh data on first request. Old tiles linger harmlessly in cache until evicted by LRU; they’d still serve correct data for their old release if anyone asked.</w:t>
      </w:r>
    </w:p>
    <w:p>
      <w:pPr>
        <w:pStyle w:val="BodyText"/>
      </w:pPr>
      <w:r>
        <w:t xml:space="preserve">No purge command, no cache key surgery. Just: change one parameter, get a clean cache layer for free.</w:t>
      </w:r>
    </w:p>
    <w:tbl>
      <w:tblPr>
        <w:tblStyle w:val="Table"/>
        <w:tblW w:type="pct" w:w="5000"/>
        <w:tblLayout w:type="fixed"/>
        <w:tblLook w:firstRow="0" w:lastRow="0" w:firstColumn="0" w:lastColumn="0" w:noHBand="0" w:noVBand="0" w:val="0000"/>
      </w:tblPr>
      <w:tblGrid>
        <w:gridCol w:w="7920"/>
      </w:tblGrid>
      <w:tr>
        <w:tc>
          <w:tcPr/>
          <w:bookmarkStart w:id="57" w:name="fig-h3t-release"/>
          <w:p>
            <w:pPr>
              <w:jc w:val="center"/>
            </w:pPr>
            <w:r>
              <w:drawing>
                <wp:inline>
                  <wp:extent cx="5334000" cy="4046220"/>
                  <wp:effectExtent b="0" l="0" r="0" t="0"/>
                  <wp:docPr descr="" title="" id="55" name="Picture"/>
                  <a:graphic>
                    <a:graphicData uri="http://schemas.openxmlformats.org/drawingml/2006/picture">
                      <pic:pic>
                        <pic:nvPicPr>
                          <pic:cNvPr descr="maps_files/figure-docx/mermaid-figure-2.png" id="56" name="Picture"/>
                          <pic:cNvPicPr>
                            <a:picLocks noChangeArrowheads="1" noChangeAspect="1"/>
                          </pic:cNvPicPr>
                        </pic:nvPicPr>
                        <pic:blipFill>
                          <a:blip r:embed="rId54"/>
                          <a:stretch>
                            <a:fillRect/>
                          </a:stretch>
                        </pic:blipFill>
                        <pic:spPr bwMode="auto">
                          <a:xfrm>
                            <a:off x="0" y="0"/>
                            <a:ext cx="5334000" cy="4046220"/>
                          </a:xfrm>
                          <a:prstGeom prst="rect">
                            <a:avLst/>
                          </a:prstGeom>
                          <a:noFill/>
                          <a:ln w="9525">
                            <a:noFill/>
                            <a:headEnd/>
                            <a:tailEnd/>
                          </a:ln>
                        </pic:spPr>
                      </pic:pic>
                    </a:graphicData>
                  </a:graphic>
                </wp:inline>
              </w:drawing>
            </w:r>
          </w:p>
          <w:p>
            <w:pPr>
              <w:jc w:val="center"/>
            </w:pPr>
            <w:pPr>
              <w:jc w:val="left"/>
              <w:spacing w:before="200"/>
              <w:pStyle w:val="ImageCaption"/>
            </w:pPr>
            <w:r>
              <w:t xml:space="preserve">Figure 4.4: Cache invalidation by release. The</w:t>
            </w:r>
            <w:r>
              <w:t xml:space="preserve"> </w:t>
            </w:r>
            <w:r>
              <w:rPr>
                <w:rStyle w:val="VerbatimChar"/>
              </w:rPr>
              <w:t xml:space="preserve">release</w:t>
            </w:r>
            <w:r>
              <w:t xml:space="preserve"> </w:t>
            </w:r>
            <w:r>
              <w:t xml:space="preserve">query parameter is part of every tile URL. When a new database release is published, the int-app picks up the new version from</w:t>
            </w:r>
            <w:r>
              <w:t xml:space="preserve"> </w:t>
            </w:r>
            <w:r>
              <w:rPr>
                <w:rStyle w:val="VerbatimChar"/>
              </w:rPr>
              <w:t xml:space="preserve">/h3t/meta</w:t>
            </w:r>
            <w:r>
              <w:t xml:space="preserve">, all subsequent tile URLs change, and Varnish refills naturally — no manual purge.</w:t>
            </w:r>
          </w:p>
          <w:bookmarkEnd w:id="57"/>
        </w:tc>
      </w:tr>
    </w:tbl>
    <w:bookmarkEnd w:id="58"/>
    <w:bookmarkEnd w:id="59"/>
    <w:bookmarkStart w:id="60" w:name="a-worked-example-sardine-temperature"/>
    <w:p>
      <w:pPr>
        <w:pStyle w:val="Heading2"/>
      </w:pPr>
      <w:r>
        <w:t xml:space="preserve">4.5 A worked example: sardine + temperature</w:t>
      </w:r>
    </w:p>
    <w:p>
      <w:pPr>
        <w:pStyle w:val="FirstParagraph"/>
      </w:pPr>
      <w:r>
        <w:t xml:space="preserve">To make this concrete, here is the full life of one click in the int-app:</w:t>
      </w:r>
    </w:p>
    <w:p>
      <w:pPr>
        <w:numPr>
          <w:ilvl w:val="0"/>
          <w:numId w:val="1007"/>
        </w:numPr>
      </w:pPr>
      <w:r>
        <w:rPr>
          <w:b/>
          <w:bCs/>
        </w:rPr>
        <w:t xml:space="preserve">User picks</w:t>
      </w:r>
      <w:r>
        <w:t xml:space="preserve"> </w:t>
      </w:r>
      <w:r>
        <w:rPr>
          <w:i/>
          <w:iCs/>
        </w:rPr>
        <w:t xml:space="preserve">Pacific sardine</w:t>
      </w:r>
      <w:r>
        <w:t xml:space="preserve"> </w:t>
      </w:r>
      <w:r>
        <w:t xml:space="preserve">(</w:t>
      </w:r>
      <w:r>
        <w:rPr>
          <w:rStyle w:val="VerbatimChar"/>
        </w:rPr>
        <w:t xml:space="preserve">Sardinops sagax</w:t>
      </w:r>
      <w:r>
        <w:t xml:space="preserve">) and</w:t>
      </w:r>
      <w:r>
        <w:t xml:space="preserve"> </w:t>
      </w:r>
      <w:r>
        <w:rPr>
          <w:i/>
          <w:iCs/>
        </w:rPr>
        <w:t xml:space="preserve">temperature</w:t>
      </w:r>
      <w:r>
        <w:t xml:space="preserve"> </w:t>
      </w:r>
      <w:r>
        <w:t xml:space="preserve">in the sidebar, with date range 1949–2024 and all four quarters.</w:t>
      </w:r>
    </w:p>
    <w:p>
      <w:pPr>
        <w:numPr>
          <w:ilvl w:val="0"/>
          <w:numId w:val="1007"/>
        </w:numPr>
      </w:pPr>
      <w:r>
        <w:rPr>
          <w:rStyle w:val="VerbatimChar"/>
          <w:b/>
          <w:bCs/>
        </w:rPr>
        <w:t xml:space="preserve">build_sp_sql()</w:t>
      </w:r>
      <w:r>
        <w:t xml:space="preserve"> </w:t>
      </w:r>
      <w:r>
        <w:t xml:space="preserve">assembles a SQL template:</w:t>
      </w:r>
    </w:p>
    <w:p>
      <w:pPr>
        <w:pStyle w:val="SourceCode"/>
        <w:numPr>
          <w:ilvl w:val="0"/>
          <w:numId w:val="1000"/>
        </w:numPr>
      </w:pPr>
      <w:r>
        <w:rPr>
          <w:rStyle w:val="KeywordTok"/>
        </w:rPr>
        <w:t xml:space="preserve">SELECT</w:t>
      </w:r>
      <w:r>
        <w:rPr>
          <w:rStyle w:val="NormalTok"/>
        </w:rPr>
        <w:t xml:space="preserve"> hex_h3res{{res}} </w:t>
      </w:r>
      <w:r>
        <w:rPr>
          <w:rStyle w:val="KeywordTok"/>
        </w:rPr>
        <w:t xml:space="preserve">AS</w:t>
      </w:r>
      <w:r>
        <w:rPr>
          <w:rStyle w:val="NormalTok"/>
        </w:rPr>
        <w:t xml:space="preserve"> cell_id,</w:t>
      </w:r>
      <w:r>
        <w:br/>
      </w:r>
      <w:r>
        <w:rPr>
          <w:rStyle w:val="NormalTok"/>
        </w:rPr>
        <w:t xml:space="preserve">       </w:t>
      </w:r>
      <w:r>
        <w:rPr>
          <w:rStyle w:val="FunctionTok"/>
        </w:rPr>
        <w:t xml:space="preserve">AVG</w:t>
      </w:r>
      <w:r>
        <w:rPr>
          <w:rStyle w:val="NormalTok"/>
        </w:rPr>
        <w:t xml:space="preserve">(std_tally)   </w:t>
      </w:r>
      <w:r>
        <w:rPr>
          <w:rStyle w:val="KeywordTok"/>
        </w:rPr>
        <w:t xml:space="preserve">AS</w:t>
      </w:r>
      <w:r>
        <w:rPr>
          <w:rStyle w:val="NormalTok"/>
        </w:rPr>
        <w:t xml:space="preserve"> </w:t>
      </w:r>
      <w:r>
        <w:rPr>
          <w:rStyle w:val="FunctionTok"/>
        </w:rPr>
        <w:t xml:space="preserve">value</w:t>
      </w:r>
      <w:r>
        <w:rPr>
          <w:rStyle w:val="NormalTok"/>
        </w:rPr>
        <w:t xml:space="preserve">,</w:t>
      </w:r>
      <w:r>
        <w:br/>
      </w:r>
      <w:r>
        <w:rPr>
          <w:rStyle w:val="NormalTok"/>
        </w:rPr>
        <w:t xml:space="preserve">       </w:t>
      </w:r>
      <w:r>
        <w:rPr>
          <w:rStyle w:val="FunctionTok"/>
        </w:rPr>
        <w:t xml:space="preserve">COUNT</w:t>
      </w:r>
      <w:r>
        <w:rPr>
          <w:rStyle w:val="NormalTok"/>
        </w:rPr>
        <w:t xml:space="preserve">(</w:t>
      </w:r>
      <w:r>
        <w:rPr>
          <w:rStyle w:val="OperatorTok"/>
        </w:rPr>
        <w:t xml:space="preserve">*</w:t>
      </w:r>
      <w:r>
        <w:rPr>
          <w:rStyle w:val="NormalTok"/>
        </w:rPr>
        <w:t xml:space="preserve">)         </w:t>
      </w:r>
      <w:r>
        <w:rPr>
          <w:rStyle w:val="KeywordTok"/>
        </w:rPr>
        <w:t xml:space="preserve">AS</w:t>
      </w:r>
      <w:r>
        <w:rPr>
          <w:rStyle w:val="NormalTok"/>
        </w:rPr>
        <w:t xml:space="preserve"> n</w:t>
      </w:r>
      <w:r>
        <w:br/>
      </w:r>
      <w:r>
        <w:rPr>
          <w:rStyle w:val="NormalTok"/>
        </w:rPr>
        <w:t xml:space="preserve">  </w:t>
      </w:r>
      <w:r>
        <w:rPr>
          <w:rStyle w:val="KeywordTok"/>
        </w:rPr>
        <w:t xml:space="preserve">FROM</w:t>
      </w:r>
      <w:r>
        <w:rPr>
          <w:rStyle w:val="NormalTok"/>
        </w:rPr>
        <w:t xml:space="preserve"> bio_obs</w:t>
      </w:r>
      <w:r>
        <w:br/>
      </w:r>
      <w:r>
        <w:rPr>
          <w:rStyle w:val="NormalTok"/>
        </w:rPr>
        <w:t xml:space="preserve"> </w:t>
      </w:r>
      <w:r>
        <w:rPr>
          <w:rStyle w:val="KeywordTok"/>
        </w:rPr>
        <w:t xml:space="preserve">WHERE</w:t>
      </w:r>
      <w:r>
        <w:rPr>
          <w:rStyle w:val="NormalTok"/>
        </w:rPr>
        <w:t xml:space="preserve"> scientific_name </w:t>
      </w:r>
      <w:r>
        <w:rPr>
          <w:rStyle w:val="OperatorTok"/>
        </w:rPr>
        <w:t xml:space="preserve">=</w:t>
      </w:r>
      <w:r>
        <w:rPr>
          <w:rStyle w:val="NormalTok"/>
        </w:rPr>
        <w:t xml:space="preserve"> </w:t>
      </w:r>
      <w:r>
        <w:rPr>
          <w:rStyle w:val="StringTok"/>
        </w:rPr>
        <w:t xml:space="preserve">'Sardinops sagax'</w:t>
      </w:r>
      <w:r>
        <w:br/>
      </w:r>
      <w:r>
        <w:rPr>
          <w:rStyle w:val="NormalTok"/>
        </w:rPr>
        <w:t xml:space="preserve">   </w:t>
      </w:r>
      <w:r>
        <w:rPr>
          <w:rStyle w:val="KeywordTok"/>
        </w:rPr>
        <w:t xml:space="preserve">AND</w:t>
      </w:r>
      <w:r>
        <w:rPr>
          <w:rStyle w:val="NormalTok"/>
        </w:rPr>
        <w:t xml:space="preserve"> quarter </w:t>
      </w:r>
      <w:r>
        <w:rPr>
          <w:rStyle w:val="KeywordTok"/>
        </w:rPr>
        <w:t xml:space="preserve">IN</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r>
      <w:r>
        <w:rPr>
          <w:rStyle w:val="NormalTok"/>
        </w:rPr>
        <w:t xml:space="preserve">   </w:t>
      </w:r>
      <w:r>
        <w:rPr>
          <w:rStyle w:val="KeywordTok"/>
        </w:rPr>
        <w:t xml:space="preserve">AND</w:t>
      </w:r>
      <w:r>
        <w:rPr>
          <w:rStyle w:val="NormalTok"/>
        </w:rPr>
        <w:t xml:space="preserve"> time_start </w:t>
      </w:r>
      <w:r>
        <w:rPr>
          <w:rStyle w:val="KeywordTok"/>
        </w:rPr>
        <w:t xml:space="preserve">BETWEEN</w:t>
      </w:r>
      <w:r>
        <w:rPr>
          <w:rStyle w:val="NormalTok"/>
        </w:rPr>
        <w:t xml:space="preserve"> </w:t>
      </w:r>
      <w:r>
        <w:rPr>
          <w:rStyle w:val="StringTok"/>
        </w:rPr>
        <w:t xml:space="preserve">'1949-01-01'</w:t>
      </w:r>
      <w:r>
        <w:rPr>
          <w:rStyle w:val="NormalTok"/>
        </w:rPr>
        <w:t xml:space="preserve"> </w:t>
      </w:r>
      <w:r>
        <w:rPr>
          <w:rStyle w:val="KeywordTok"/>
        </w:rPr>
        <w:t xml:space="preserve">AND</w:t>
      </w:r>
      <w:r>
        <w:rPr>
          <w:rStyle w:val="NormalTok"/>
        </w:rPr>
        <w:t xml:space="preserve"> </w:t>
      </w:r>
      <w:r>
        <w:rPr>
          <w:rStyle w:val="StringTok"/>
        </w:rPr>
        <w:t xml:space="preserve">'2024-12-31'</w:t>
      </w:r>
      <w:r>
        <w:br/>
      </w:r>
      <w:r>
        <w:rPr>
          <w:rStyle w:val="NormalTok"/>
        </w:rPr>
        <w:t xml:space="preserve"> </w:t>
      </w:r>
      <w:r>
        <w:rPr>
          <w:rStyle w:val="KeywordTok"/>
        </w:rPr>
        <w:t xml:space="preserve">GROUP</w:t>
      </w:r>
      <w:r>
        <w:rPr>
          <w:rStyle w:val="NormalTok"/>
        </w:rPr>
        <w:t xml:space="preserve"> </w:t>
      </w:r>
      <w:r>
        <w:rPr>
          <w:rStyle w:val="KeywordTok"/>
        </w:rPr>
        <w:t xml:space="preserve">BY</w:t>
      </w:r>
      <w:r>
        <w:rPr>
          <w:rStyle w:val="NormalTok"/>
        </w:rPr>
        <w:t xml:space="preserve"> </w:t>
      </w:r>
      <w:r>
        <w:rPr>
          <w:rStyle w:val="DecValTok"/>
        </w:rPr>
        <w:t xml:space="preserve">1</w:t>
      </w:r>
    </w:p>
    <w:p>
      <w:pPr>
        <w:numPr>
          <w:ilvl w:val="0"/>
          <w:numId w:val="1007"/>
        </w:numPr>
      </w:pPr>
      <w:r>
        <w:rPr>
          <w:rStyle w:val="VerbatimChar"/>
          <w:b/>
          <w:bCs/>
        </w:rPr>
        <w:t xml:space="preserve">h3t_b64()</w:t>
      </w:r>
      <w:r>
        <w:t xml:space="preserve"> </w:t>
      </w:r>
      <w:r>
        <w:t xml:space="preserve">base64-encodes the SQL →</w:t>
      </w:r>
      <w:r>
        <w:t xml:space="preserve"> </w:t>
      </w:r>
      <w:r>
        <w:rPr>
          <w:rStyle w:val="VerbatimChar"/>
        </w:rPr>
        <w:t xml:space="preserve">q=U0VMRUNUIGhleF9oM3Jlc3t7cmVzfX0gQVMgY2VsbF9pZCwKICAgICAgIEFWRyhz...</w:t>
      </w:r>
      <w:r>
        <w:t xml:space="preserve">.</w:t>
      </w:r>
    </w:p>
    <w:p>
      <w:pPr>
        <w:numPr>
          <w:ilvl w:val="0"/>
          <w:numId w:val="1007"/>
        </w:numPr>
      </w:pPr>
      <w:r>
        <w:rPr>
          <w:rStyle w:val="VerbatimChar"/>
          <w:b/>
          <w:bCs/>
        </w:rPr>
        <w:t xml:space="preserve">fetch_h3t_stats()</w:t>
      </w:r>
      <w:r>
        <w:t xml:space="preserve"> </w:t>
      </w:r>
      <w:r>
        <w:t xml:space="preserve">calls</w:t>
      </w:r>
      <w:r>
        <w:t xml:space="preserve"> </w:t>
      </w:r>
      <w:r>
        <w:rPr>
          <w:rStyle w:val="VerbatimChar"/>
        </w:rPr>
        <w:t xml:space="preserve">/h3t/stats?q=…&amp;release=v2026.04.08</w:t>
      </w:r>
      <w:r>
        <w:t xml:space="preserve"> </w:t>
      </w:r>
      <w:r>
        <w:t xml:space="preserve">once to get</w:t>
      </w:r>
      <w:r>
        <w:t xml:space="preserve"> </w:t>
      </w:r>
      <w:r>
        <w:rPr>
          <w:rStyle w:val="VerbatimChar"/>
        </w:rPr>
        <w:t xml:space="preserve">{min, max, p02, p98, n}</w:t>
      </w:r>
      <w:r>
        <w:t xml:space="preserve">. The 2nd–98th percentiles drive a robust color scale that ignores outliers.</w:t>
      </w:r>
    </w:p>
    <w:p>
      <w:pPr>
        <w:numPr>
          <w:ilvl w:val="0"/>
          <w:numId w:val="1007"/>
        </w:numPr>
      </w:pPr>
      <w:r>
        <w:rPr>
          <w:b/>
          <w:bCs/>
        </w:rPr>
        <w:t xml:space="preserve">MapLibre</w:t>
      </w:r>
      <w:r>
        <w:t xml:space="preserve"> </w:t>
      </w:r>
      <w:r>
        <w:t xml:space="preserve">requests tiles as the user pans:</w:t>
      </w:r>
    </w:p>
    <w:p>
      <w:pPr>
        <w:pStyle w:val="SourceCode"/>
        <w:numPr>
          <w:ilvl w:val="0"/>
          <w:numId w:val="1000"/>
        </w:numPr>
      </w:pPr>
      <w:r>
        <w:rPr>
          <w:rStyle w:val="VerbatimChar"/>
        </w:rPr>
        <w:t xml:space="preserve">h3tiles://h3t.calcofi.io/h3t/4/3/6.h3t?q=U0VMRUNU…&amp;release=v2026.04.08</w:t>
      </w:r>
    </w:p>
    <w:p>
      <w:pPr>
        <w:numPr>
          <w:ilvl w:val="0"/>
          <w:numId w:val="1007"/>
        </w:numPr>
      </w:pPr>
      <w:r>
        <w:rPr>
          <w:b/>
          <w:bCs/>
        </w:rPr>
        <w:t xml:space="preserve">Plumber</w:t>
      </w:r>
      <w:r>
        <w:t xml:space="preserve"> </w:t>
      </w:r>
      <w:r>
        <w:t xml:space="preserve">decodes, substitutes</w:t>
      </w:r>
      <w:r>
        <w:t xml:space="preserve"> </w:t>
      </w:r>
      <w:r>
        <w:rPr>
          <w:rStyle w:val="VerbatimChar"/>
        </w:rPr>
        <w:t xml:space="preserve">{res}</w:t>
      </w:r>
      <w:r>
        <w:t xml:space="preserve"> </w:t>
      </w:r>
      <w:r>
        <w:t xml:space="preserve">(zoom 4 → res 3), wraps in a bounding-box filter for tile (4, 3, 6), runs the query, and returns:</w:t>
      </w:r>
    </w:p>
    <w:p>
      <w:pPr>
        <w:pStyle w:val="SourceCode"/>
        <w:numPr>
          <w:ilvl w:val="0"/>
          <w:numId w:val="1000"/>
        </w:numPr>
      </w:pPr>
      <w:r>
        <w:rPr>
          <w:rStyle w:val="FunctionTok"/>
        </w:rPr>
        <w:t xml:space="preserve">{</w:t>
      </w:r>
      <w:r>
        <w:br/>
      </w:r>
      <w:r>
        <w:rPr>
          <w:rStyle w:val="NormalTok"/>
        </w:rPr>
        <w:t xml:space="preserve">  </w:t>
      </w:r>
      <w:r>
        <w:rPr>
          <w:rStyle w:val="DataTypeTok"/>
        </w:rPr>
        <w:t xml:space="preserve">"cells"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"h3id"</w:t>
      </w:r>
      <w:r>
        <w:rPr>
          <w:rStyle w:val="FunctionTok"/>
        </w:rPr>
        <w:t xml:space="preserve">:</w:t>
      </w:r>
      <w:r>
        <w:rPr>
          <w:rStyle w:val="NormalTok"/>
        </w:rPr>
        <w:t xml:space="preserve"> </w:t>
      </w:r>
      <w:r>
        <w:rPr>
          <w:rStyle w:val="StringTok"/>
        </w:rPr>
        <w:t xml:space="preserve">"83390cfffffffff"</w:t>
      </w:r>
      <w:r>
        <w:rPr>
          <w:rStyle w:val="FunctionTok"/>
        </w:rPr>
        <w:t xml:space="preserve">,</w:t>
      </w:r>
      <w:r>
        <w:rPr>
          <w:rStyle w:val="NormalTok"/>
        </w:rPr>
        <w:t xml:space="preserve"> </w:t>
      </w:r>
      <w:r>
        <w:rPr>
          <w:rStyle w:val="DataTypeTok"/>
        </w:rPr>
        <w:t xml:space="preserve">"value"</w:t>
      </w:r>
      <w:r>
        <w:rPr>
          <w:rStyle w:val="FunctionTok"/>
        </w:rPr>
        <w:t xml:space="preserve">:</w:t>
      </w:r>
      <w:r>
        <w:rPr>
          <w:rStyle w:val="NormalTok"/>
        </w:rPr>
        <w:t xml:space="preserve"> </w:t>
      </w:r>
      <w:r>
        <w:rPr>
          <w:rStyle w:val="FloatTok"/>
        </w:rPr>
        <w:t xml:space="preserve">12.37</w:t>
      </w:r>
      <w:r>
        <w:rPr>
          <w:rStyle w:val="FunctionTok"/>
        </w:rPr>
        <w:t xml:space="preserve">,</w:t>
      </w:r>
      <w:r>
        <w:rPr>
          <w:rStyle w:val="NormalTok"/>
        </w:rPr>
        <w:t xml:space="preserve"> </w:t>
      </w:r>
      <w:r>
        <w:rPr>
          <w:rStyle w:val="DataTypeTok"/>
        </w:rPr>
        <w:t xml:space="preserve">"n"</w:t>
      </w:r>
      <w:r>
        <w:rPr>
          <w:rStyle w:val="FunctionTok"/>
        </w:rPr>
        <w:t xml:space="preserve">:</w:t>
      </w:r>
      <w:r>
        <w:rPr>
          <w:rStyle w:val="NormalTok"/>
        </w:rPr>
        <w:t xml:space="preserve"> </w:t>
      </w:r>
      <w:r>
        <w:rPr>
          <w:rStyle w:val="DecValTok"/>
        </w:rPr>
        <w:t xml:space="preserve">42</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"h3id"</w:t>
      </w:r>
      <w:r>
        <w:rPr>
          <w:rStyle w:val="FunctionTok"/>
        </w:rPr>
        <w:t xml:space="preserve">:</w:t>
      </w:r>
      <w:r>
        <w:rPr>
          <w:rStyle w:val="NormalTok"/>
        </w:rPr>
        <w:t xml:space="preserve"> </w:t>
      </w:r>
      <w:r>
        <w:rPr>
          <w:rStyle w:val="StringTok"/>
        </w:rPr>
        <w:t xml:space="preserve">"83390dfffffffff"</w:t>
      </w:r>
      <w:r>
        <w:rPr>
          <w:rStyle w:val="FunctionTok"/>
        </w:rPr>
        <w:t xml:space="preserve">,</w:t>
      </w:r>
      <w:r>
        <w:rPr>
          <w:rStyle w:val="NormalTok"/>
        </w:rPr>
        <w:t xml:space="preserve"> </w:t>
      </w:r>
      <w:r>
        <w:rPr>
          <w:rStyle w:val="DataTypeTok"/>
        </w:rPr>
        <w:t xml:space="preserve">"value"</w:t>
      </w:r>
      <w:r>
        <w:rPr>
          <w:rStyle w:val="FunctionTok"/>
        </w:rPr>
        <w:t xml:space="preserve">:</w:t>
      </w:r>
      <w:r>
        <w:rPr>
          <w:rStyle w:val="NormalTok"/>
        </w:rPr>
        <w:t xml:space="preserve"> </w:t>
      </w:r>
      <w:r>
        <w:rPr>
          <w:rStyle w:val="FloatTok"/>
        </w:rPr>
        <w:t xml:space="preserve">14.02</w:t>
      </w:r>
      <w:r>
        <w:rPr>
          <w:rStyle w:val="FunctionTok"/>
        </w:rPr>
        <w:t xml:space="preserve">,</w:t>
      </w:r>
      <w:r>
        <w:rPr>
          <w:rStyle w:val="NormalTok"/>
        </w:rPr>
        <w:t xml:space="preserve"> </w:t>
      </w:r>
      <w:r>
        <w:rPr>
          <w:rStyle w:val="DataTypeTok"/>
        </w:rPr>
        <w:t xml:space="preserve">"n"</w:t>
      </w:r>
      <w:r>
        <w:rPr>
          <w:rStyle w:val="FunctionTok"/>
        </w:rPr>
        <w:t xml:space="preserve">:</w:t>
      </w:r>
      <w:r>
        <w:rPr>
          <w:rStyle w:val="NormalTok"/>
        </w:rPr>
        <w:t xml:space="preserve"> </w:t>
      </w:r>
      <w:r>
        <w:rPr>
          <w:rStyle w:val="DecValTok"/>
        </w:rPr>
        <w:t xml:space="preserve">38</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"h3id"</w:t>
      </w:r>
      <w:r>
        <w:rPr>
          <w:rStyle w:val="FunctionTok"/>
        </w:rPr>
        <w:t xml:space="preserve">:</w:t>
      </w:r>
      <w:r>
        <w:rPr>
          <w:rStyle w:val="NormalTok"/>
        </w:rPr>
        <w:t xml:space="preserve"> </w:t>
      </w:r>
      <w:r>
        <w:rPr>
          <w:rStyle w:val="StringTok"/>
        </w:rPr>
        <w:t xml:space="preserve">"83390efffffffff"</w:t>
      </w:r>
      <w:r>
        <w:rPr>
          <w:rStyle w:val="FunctionTok"/>
        </w:rPr>
        <w:t xml:space="preserve">,</w:t>
      </w:r>
      <w:r>
        <w:rPr>
          <w:rStyle w:val="NormalTok"/>
        </w:rPr>
        <w:t xml:space="preserve"> </w:t>
      </w:r>
      <w:r>
        <w:rPr>
          <w:rStyle w:val="DataTypeTok"/>
        </w:rPr>
        <w:t xml:space="preserve">"value"</w:t>
      </w:r>
      <w:r>
        <w:rPr>
          <w:rStyle w:val="FunctionTok"/>
        </w:rPr>
        <w:t xml:space="preserve">:</w:t>
      </w:r>
      <w:r>
        <w:rPr>
          <w:rStyle w:val="NormalTok"/>
        </w:rPr>
        <w:t xml:space="preserve"> </w:t>
      </w:r>
      <w:r>
        <w:rPr>
          <w:rStyle w:val="FloatTok"/>
        </w:rPr>
        <w:t xml:space="preserve">11.85</w:t>
      </w:r>
      <w:r>
        <w:rPr>
          <w:rStyle w:val="FunctionTok"/>
        </w:rPr>
        <w:t xml:space="preserve">,</w:t>
      </w:r>
      <w:r>
        <w:rPr>
          <w:rStyle w:val="NormalTok"/>
        </w:rPr>
        <w:t xml:space="preserve"> </w:t>
      </w:r>
      <w:r>
        <w:rPr>
          <w:rStyle w:val="DataTypeTok"/>
        </w:rPr>
        <w:t xml:space="preserve">"n"</w:t>
      </w:r>
      <w:r>
        <w:rPr>
          <w:rStyle w:val="FunctionTok"/>
        </w:rPr>
        <w:t xml:space="preserve">:</w:t>
      </w:r>
      <w:r>
        <w:rPr>
          <w:rStyle w:val="NormalTok"/>
        </w:rPr>
        <w:t xml:space="preserve"> </w:t>
      </w:r>
      <w:r>
        <w:rPr>
          <w:rStyle w:val="DecValTok"/>
        </w:rPr>
        <w:t xml:space="preserve">51</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numPr>
          <w:ilvl w:val="0"/>
          <w:numId w:val="1007"/>
        </w:numPr>
      </w:pPr>
      <w:r>
        <w:rPr>
          <w:b/>
          <w:bCs/>
        </w:rPr>
        <w:t xml:space="preserve">MapLibre</w:t>
      </w:r>
      <w:r>
        <w:t xml:space="preserve"> </w:t>
      </w:r>
      <w:r>
        <w:t xml:space="preserve">paints each hex by interpolating the stats palette between p02 and p98. The user sees a smooth choropleth update as new tiles arrive.</w:t>
      </w:r>
    </w:p>
    <w:p>
      <w:pPr>
        <w:pStyle w:val="FirstParagraph"/>
      </w:pPr>
      <w:r>
        <w:t xml:space="preserve">The first time this query runs anywhere, it takes ~200–800 ms (Varnish miss, DuckDB execution). Every subsequent user requesting</w:t>
      </w:r>
      <w:r>
        <w:t xml:space="preserve"> </w:t>
      </w:r>
      <w:r>
        <w:t xml:space="preserve">“sardines, all quarters, 1949–2024”</w:t>
      </w:r>
      <w:r>
        <w:t xml:space="preserve"> </w:t>
      </w:r>
      <w:r>
        <w:t xml:space="preserve">hits Varnish and renders in under 100 ms.</w:t>
      </w:r>
    </w:p>
    <w:bookmarkEnd w:id="60"/>
    <w:bookmarkStart w:id="63" w:name="how-the-data-gets-there"/>
    <w:p>
      <w:pPr>
        <w:pStyle w:val="Heading2"/>
      </w:pPr>
      <w:r>
        <w:t xml:space="preserve">4.6 How the data gets there</w:t>
      </w:r>
    </w:p>
    <w:p>
      <w:pPr>
        <w:pStyle w:val="FirstParagraph"/>
      </w:pPr>
      <w:r>
        <w:t xml:space="preserve">The H3T service is the</w:t>
      </w:r>
      <w:r>
        <w:t xml:space="preserve"> </w:t>
      </w:r>
      <w:r>
        <w:rPr>
          <w:i/>
          <w:iCs/>
        </w:rPr>
        <w:t xml:space="preserve">last</w:t>
      </w:r>
      <w:r>
        <w:t xml:space="preserve"> </w:t>
      </w:r>
      <w:r>
        <w:t xml:space="preserve">link in the CalCOFI data pipeline, not the first:</w:t>
      </w:r>
    </w:p>
    <w:p>
      <w:pPr>
        <w:pStyle w:val="Compact"/>
        <w:numPr>
          <w:ilvl w:val="0"/>
          <w:numId w:val="1008"/>
        </w:numPr>
      </w:pPr>
      <w:r>
        <w:t xml:space="preserve">Source data (Google Drive, NCEI, ERDDAP, SWFSC) is ingested through Quarto notebooks in</w:t>
      </w:r>
      <w:r>
        <w:t xml:space="preserve"> </w:t>
      </w:r>
      <w:hyperlink r:id="rId61">
        <w:r>
          <w:rPr>
            <w:rStyle w:val="VerbatimChar"/>
          </w:rPr>
          <w:t xml:space="preserve">CalCOFI/workflows</w:t>
        </w:r>
      </w:hyperlink>
      <w:r>
        <w:t xml:space="preserve"> </w:t>
      </w:r>
      <w:r>
        <w:t xml:space="preserve">into a working DuckDB database.</w:t>
      </w:r>
    </w:p>
    <w:p>
      <w:pPr>
        <w:pStyle w:val="Compact"/>
        <w:numPr>
          <w:ilvl w:val="0"/>
          <w:numId w:val="1008"/>
        </w:numPr>
      </w:pPr>
      <w:r>
        <w:t xml:space="preserve">A</w:t>
      </w:r>
      <w:r>
        <w:t xml:space="preserve"> </w:t>
      </w:r>
      <w:r>
        <w:rPr>
          <w:rStyle w:val="VerbatimChar"/>
        </w:rPr>
        <w:t xml:space="preserve">release_database.qmd</w:t>
      </w:r>
      <w:r>
        <w:t xml:space="preserve"> </w:t>
      </w:r>
      <w:r>
        <w:t xml:space="preserve">step validates, freezes, and publishes a versioned DuckDB file to the API server.</w:t>
      </w:r>
    </w:p>
    <w:p>
      <w:pPr>
        <w:pStyle w:val="Compact"/>
        <w:numPr>
          <w:ilvl w:val="0"/>
          <w:numId w:val="1008"/>
        </w:numPr>
      </w:pPr>
      <w:r>
        <w:t xml:space="preserve">The H3T API mounts that file read-only and serves tiles from it.</w:t>
      </w:r>
    </w:p>
    <w:p>
      <w:pPr>
        <w:pStyle w:val="FirstParagraph"/>
      </w:pPr>
      <w:r>
        <w:t xml:space="preserve">For the schema details, see</w:t>
      </w:r>
      <w:r>
        <w:t xml:space="preserve"> </w:t>
      </w:r>
      <w:hyperlink r:id="rId53">
        <w:r>
          <w:rPr>
            <w:rStyle w:val="Hyperlink"/>
          </w:rPr>
          <w:t xml:space="preserve">Database</w:t>
        </w:r>
      </w:hyperlink>
      <w:r>
        <w:t xml:space="preserve">. For the publish path, see</w:t>
      </w:r>
      <w:r>
        <w:t xml:space="preserve"> </w:t>
      </w:r>
      <w:hyperlink r:id="rId62">
        <w:r>
          <w:rPr>
            <w:rStyle w:val="Hyperlink"/>
          </w:rPr>
          <w:t xml:space="preserve">Portals</w:t>
        </w:r>
      </w:hyperlink>
      <w:r>
        <w:t xml:space="preserve">.</w:t>
      </w:r>
    </w:p>
    <w:bookmarkEnd w:id="63"/>
    <w:bookmarkStart w:id="71" w:name="repositories-and-code"/>
    <w:p>
      <w:pPr>
        <w:pStyle w:val="Heading2"/>
      </w:pPr>
      <w:r>
        <w:t xml:space="preserve">4.7 Repositories and code</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Repository</w:t>
            </w:r>
          </w:p>
        </w:tc>
        <w:tc>
          <w:tcPr/>
          <w:p>
            <w:pPr>
              <w:pStyle w:val="Compact"/>
            </w:pPr>
            <w:r>
              <w:t xml:space="preserve">Role</w:t>
            </w:r>
          </w:p>
        </w:tc>
      </w:tr>
      <w:tr>
        <w:tc>
          <w:tcPr/>
          <w:p>
            <w:pPr>
              <w:pStyle w:val="Compact"/>
            </w:pPr>
            <w:hyperlink r:id="rId64">
              <w:r>
                <w:rPr>
                  <w:rStyle w:val="Hyperlink"/>
                </w:rPr>
                <w:t xml:space="preserve">CalCOFI/api-h3t</w:t>
              </w:r>
            </w:hyperlink>
          </w:p>
        </w:tc>
        <w:tc>
          <w:tcPr/>
          <w:p>
            <w:pPr>
              <w:pStyle w:val="Compact"/>
            </w:pPr>
            <w:r>
              <w:t xml:space="preserve">Plumber API, sqlglot validator, DuckDB driver, deployment configs</w:t>
            </w:r>
          </w:p>
        </w:tc>
      </w:tr>
      <w:tr>
        <w:tc>
          <w:tcPr/>
          <w:p>
            <w:pPr>
              <w:pStyle w:val="Compact"/>
            </w:pPr>
            <w:hyperlink r:id="rId65">
              <w:r>
                <w:rPr>
                  <w:rStyle w:val="Hyperlink"/>
                </w:rPr>
                <w:t xml:space="preserve">CalCOFI/int-app</w:t>
              </w:r>
            </w:hyperlink>
          </w:p>
        </w:tc>
        <w:tc>
          <w:tcPr/>
          <w:p>
            <w:pPr>
              <w:pStyle w:val="Compact"/>
            </w:pPr>
            <w:r>
              <w:t xml:space="preserve">Shiny consumer; SQL builders and map widgets in</w:t>
            </w:r>
            <w:r>
              <w:t xml:space="preserve"> </w:t>
            </w:r>
            <w:r>
              <w:rPr>
                <w:rStyle w:val="VerbatimChar"/>
              </w:rPr>
              <w:t xml:space="preserve">app/functions_h3t.R</w:t>
            </w:r>
          </w:p>
        </w:tc>
      </w:tr>
      <w:tr>
        <w:tc>
          <w:tcPr/>
          <w:p>
            <w:pPr>
              <w:pStyle w:val="Compact"/>
            </w:pPr>
            <w:hyperlink r:id="rId66">
              <w:r>
                <w:rPr>
                  <w:rStyle w:val="Hyperlink"/>
                </w:rPr>
                <w:t xml:space="preserve">bbest/mapgl @ feat/add-h3t-source</w:t>
              </w:r>
            </w:hyperlink>
          </w:p>
        </w:tc>
        <w:tc>
          <w:tcPr/>
          <w:p>
            <w:pPr>
              <w:pStyle w:val="Compact"/>
            </w:pPr>
            <w:r>
              <w:rPr>
                <w:rStyle w:val="VerbatimChar"/>
              </w:rPr>
              <w:t xml:space="preserve">add_h3t_source()</w:t>
            </w:r>
            <w:r>
              <w:t xml:space="preserve"> </w:t>
            </w:r>
            <w:r>
              <w:t xml:space="preserve">extension to the</w:t>
            </w:r>
            <w:r>
              <w:t xml:space="preserve"> </w:t>
            </w:r>
            <w:hyperlink r:id="rId67">
              <w:r>
                <w:rPr>
                  <w:rStyle w:val="Hyperlink"/>
                </w:rPr>
                <w:t xml:space="preserve">mapgl R package</w:t>
              </w:r>
            </w:hyperlink>
          </w:p>
        </w:tc>
      </w:tr>
      <w:tr>
        <w:tc>
          <w:tcPr/>
          <w:p>
            <w:pPr>
              <w:pStyle w:val="Compact"/>
            </w:pPr>
            <w:hyperlink r:id="rId68">
              <w:r>
                <w:rPr>
                  <w:rStyle w:val="Hyperlink"/>
                </w:rPr>
                <w:t xml:space="preserve">bbest/h3j-h3t @ fix/maplibre-v3-compat</w:t>
              </w:r>
            </w:hyperlink>
          </w:p>
        </w:tc>
        <w:tc>
          <w:tcPr/>
          <w:p>
            <w:pPr>
              <w:pStyle w:val="Compact"/>
            </w:pPr>
            <w:r>
              <w:t xml:space="preserve">fix h3t protocol for MapLibre v3+/v4 and multiple sources on one page in</w:t>
            </w:r>
            <w:r>
              <w:t xml:space="preserve"> </w:t>
            </w:r>
            <w:hyperlink r:id="rId69">
              <w:r>
                <w:rPr>
                  <w:rStyle w:val="Hyperlink"/>
                </w:rPr>
                <w:t xml:space="preserve">INSPIDE/h3j-h3t</w:t>
              </w:r>
            </w:hyperlink>
          </w:p>
        </w:tc>
      </w:tr>
    </w:tbl>
    <w:p>
      <w:pPr>
        <w:pStyle w:val="BodyText"/>
      </w:pPr>
      <w:r>
        <w:t xml:space="preserve">For the full technical contract — every endpoint, every validation rule, every deployment knob — see the</w:t>
      </w:r>
      <w:r>
        <w:t xml:space="preserve"> </w:t>
      </w:r>
      <w:hyperlink r:id="rId70">
        <w:r>
          <w:rPr>
            <w:rStyle w:val="VerbatimChar"/>
          </w:rPr>
          <w:t xml:space="preserve">api-h3t</w:t>
        </w:r>
        <w:r>
          <w:rPr>
            <w:rStyle w:val="Hyperlink"/>
          </w:rPr>
          <w:t xml:space="preserve"> </w:t>
        </w:r>
        <w:r>
          <w:rPr>
            <w:rStyle w:val="Hyperlink"/>
          </w:rPr>
          <w:t xml:space="preserve">README</w:t>
        </w:r>
      </w:hyperlink>
      <w:r>
        <w:t xml:space="preserve"> </w:t>
      </w:r>
      <w:r>
        <w:t xml:space="preserve">and</w:t>
      </w:r>
      <w:r>
        <w:t xml:space="preserve"> </w:t>
      </w:r>
      <w:r>
        <w:rPr>
          <w:rStyle w:val="VerbatimChar"/>
        </w:rPr>
        <w:t xml:space="preserve">deploy.md</w:t>
      </w:r>
      <w:r>
        <w:t xml:space="preserve">.</w:t>
      </w:r>
    </w:p>
    <w:bookmarkEnd w:id="71"/>
    <w:bookmarkEnd w:id="72"/>
    <w:bookmarkStart w:id="81" w:name="api"/>
    <w:p>
      <w:pPr>
        <w:pStyle w:val="Heading1"/>
      </w:pPr>
      <w:r>
        <w:t xml:space="preserve">5. API</w:t>
      </w:r>
    </w:p>
    <w:p>
      <w:pPr>
        <w:pStyle w:val="FirstParagraph"/>
      </w:pPr>
      <w:r>
        <w:t xml:space="preserve">The raw interface to the Application Programming Interface (API) is available at:</w:t>
      </w:r>
    </w:p>
    <w:p>
      <w:pPr>
        <w:pStyle w:val="Compact"/>
        <w:numPr>
          <w:ilvl w:val="0"/>
          <w:numId w:val="1009"/>
        </w:numPr>
      </w:pPr>
      <w:hyperlink r:id="rId73">
        <w:r>
          <w:rPr>
            <w:rStyle w:val="Hyperlink"/>
          </w:rPr>
          <w:t xml:space="preserve">api.calcofi.io</w:t>
        </w:r>
      </w:hyperlink>
    </w:p>
    <w:p>
      <w:pPr>
        <w:pStyle w:val="FirstParagraph"/>
      </w:pPr>
      <w:r>
        <w:t xml:space="preserve">Here we will provide more guidance on how to use the API functions with documented input arguments, output results and examples of use.</w:t>
      </w:r>
    </w:p>
    <w:bookmarkStart w:id="74" w:name="Xdb5bff4ab80b125e0ec9e269dee45c035441004"/>
    <w:p>
      <w:pPr>
        <w:pStyle w:val="Heading2"/>
      </w:pPr>
      <w:r>
        <w:t xml:space="preserve">5.1</w:t>
      </w:r>
      <w:r>
        <w:t xml:space="preserve"> </w:t>
      </w:r>
      <w:r>
        <w:rPr>
          <w:rStyle w:val="VerbatimChar"/>
        </w:rPr>
        <w:t xml:space="preserve">/variables</w:t>
      </w:r>
      <w:r>
        <w:t xml:space="preserve">: get list of variables for timeseries</w:t>
      </w:r>
    </w:p>
    <w:p>
      <w:pPr>
        <w:pStyle w:val="FirstParagraph"/>
      </w:pPr>
      <w:r>
        <w:t xml:space="preserve">Get list of variables for use in</w:t>
      </w:r>
      <w:r>
        <w:t xml:space="preserve"> </w:t>
      </w:r>
      <w:r>
        <w:rPr>
          <w:rStyle w:val="VerbatimChar"/>
        </w:rPr>
        <w:t xml:space="preserve">/timeseries</w:t>
      </w:r>
    </w:p>
    <w:bookmarkEnd w:id="74"/>
    <w:bookmarkStart w:id="75" w:name="X2e8db8a58726b26347d058597f7a3dd58280c6c"/>
    <w:p>
      <w:pPr>
        <w:pStyle w:val="Heading2"/>
      </w:pPr>
      <w:r>
        <w:t xml:space="preserve">5.2</w:t>
      </w:r>
      <w:r>
        <w:t xml:space="preserve"> </w:t>
      </w:r>
      <w:r>
        <w:rPr>
          <w:rStyle w:val="VerbatimChar"/>
        </w:rPr>
        <w:t xml:space="preserve">/species_groups</w:t>
      </w:r>
      <w:r>
        <w:t xml:space="preserve">: get species groups for larvae</w:t>
      </w:r>
    </w:p>
    <w:p>
      <w:pPr>
        <w:pStyle w:val="FirstParagraph"/>
      </w:pPr>
      <w:r>
        <w:t xml:space="preserve">Not yet working. Get list of species groups for use with variables</w:t>
      </w:r>
      <w:r>
        <w:t xml:space="preserve"> </w:t>
      </w:r>
      <w:r>
        <w:rPr>
          <w:rStyle w:val="VerbatimChar"/>
        </w:rPr>
        <w:t xml:space="preserve">larvae_counts.count</w:t>
      </w:r>
      <w:r>
        <w:t xml:space="preserve"> </w:t>
      </w:r>
      <w:r>
        <w:t xml:space="preserve">in</w:t>
      </w:r>
      <w:r>
        <w:t xml:space="preserve"> </w:t>
      </w:r>
      <w:r>
        <w:rPr>
          <w:rStyle w:val="VerbatimChar"/>
        </w:rPr>
        <w:t xml:space="preserve">/timeseries</w:t>
      </w:r>
    </w:p>
    <w:bookmarkEnd w:id="75"/>
    <w:bookmarkStart w:id="76" w:name="timeseries-get-time-series-data"/>
    <w:p>
      <w:pPr>
        <w:pStyle w:val="Heading2"/>
      </w:pPr>
      <w:r>
        <w:t xml:space="preserve">5.3</w:t>
      </w:r>
      <w:r>
        <w:t xml:space="preserve"> </w:t>
      </w:r>
      <w:r>
        <w:rPr>
          <w:rStyle w:val="VerbatimChar"/>
        </w:rPr>
        <w:t xml:space="preserve">/timeseries</w:t>
      </w:r>
      <w:r>
        <w:t xml:space="preserve">: get time series data</w:t>
      </w:r>
    </w:p>
    <w:bookmarkEnd w:id="76"/>
    <w:bookmarkStart w:id="77" w:name="cruises-get-list-of-cruises"/>
    <w:p>
      <w:pPr>
        <w:pStyle w:val="Heading2"/>
      </w:pPr>
      <w:r>
        <w:t xml:space="preserve">5.4</w:t>
      </w:r>
      <w:r>
        <w:t xml:space="preserve"> </w:t>
      </w:r>
      <w:r>
        <w:rPr>
          <w:rStyle w:val="VerbatimChar"/>
        </w:rPr>
        <w:t xml:space="preserve">/cruises</w:t>
      </w:r>
      <w:r>
        <w:t xml:space="preserve">: get list of cruises</w:t>
      </w:r>
    </w:p>
    <w:p>
      <w:pPr>
        <w:pStyle w:val="FirstParagraph"/>
      </w:pPr>
      <w:r>
        <w:t xml:space="preserve">Get list of cruises with summary stats as CSV table for time (</w:t>
      </w:r>
      <w:r>
        <w:rPr>
          <w:rStyle w:val="VerbatimChar"/>
        </w:rPr>
        <w:t xml:space="preserve">date_beg</w:t>
      </w:r>
      <w:r>
        <w:t xml:space="preserve">)</w:t>
      </w:r>
    </w:p>
    <w:bookmarkEnd w:id="77"/>
    <w:bookmarkStart w:id="78" w:name="raster-get-raster-map-of-variable"/>
    <w:p>
      <w:pPr>
        <w:pStyle w:val="Heading2"/>
      </w:pPr>
      <w:r>
        <w:t xml:space="preserve">5.5</w:t>
      </w:r>
      <w:r>
        <w:t xml:space="preserve"> </w:t>
      </w:r>
      <w:r>
        <w:rPr>
          <w:rStyle w:val="VerbatimChar"/>
        </w:rPr>
        <w:t xml:space="preserve">/raster</w:t>
      </w:r>
      <w:r>
        <w:t xml:space="preserve">: get raster map of variable</w:t>
      </w:r>
    </w:p>
    <w:p>
      <w:pPr>
        <w:pStyle w:val="FirstParagraph"/>
      </w:pPr>
      <w:r>
        <w:t xml:space="preserve">Get raster of variable</w:t>
      </w:r>
    </w:p>
    <w:bookmarkEnd w:id="78"/>
    <w:bookmarkStart w:id="79" w:name="Xa9a102ad85f0c24be017fb63291e7ac82393149"/>
    <w:p>
      <w:pPr>
        <w:pStyle w:val="Heading2"/>
      </w:pPr>
      <w:r>
        <w:t xml:space="preserve">5.6</w:t>
      </w:r>
      <w:r>
        <w:t xml:space="preserve"> </w:t>
      </w:r>
      <w:r>
        <w:rPr>
          <w:rStyle w:val="VerbatimChar"/>
        </w:rPr>
        <w:t xml:space="preserve">/cruise_lines</w:t>
      </w:r>
      <w:r>
        <w:t xml:space="preserve">: get station lines from cruises</w:t>
      </w:r>
    </w:p>
    <w:p>
      <w:pPr>
        <w:pStyle w:val="FirstParagraph"/>
      </w:pPr>
      <w:r>
        <w:t xml:space="preserve">Get station lines from cruises (with more than one cast)</w:t>
      </w:r>
    </w:p>
    <w:bookmarkEnd w:id="79"/>
    <w:bookmarkStart w:id="80" w:name="cruise_line_profile"/>
    <w:p>
      <w:pPr>
        <w:pStyle w:val="Heading2"/>
      </w:pPr>
      <w:r>
        <w:t xml:space="preserve">5.7</w:t>
      </w:r>
      <w:r>
        <w:t xml:space="preserve"> </w:t>
      </w:r>
      <w:r>
        <w:rPr>
          <w:rStyle w:val="VerbatimChar"/>
        </w:rPr>
        <w:t xml:space="preserve">/cruise_line_profile</w:t>
      </w:r>
    </w:p>
    <w:p>
      <w:pPr>
        <w:pStyle w:val="FirstParagraph"/>
      </w:pPr>
      <w:r>
        <w:t xml:space="preserve">Get profile at depths for given variable of casts along line of stations</w:t>
      </w:r>
    </w:p>
    <w:bookmarkEnd w:id="80"/>
    <w:bookmarkEnd w:id="81"/>
    <w:bookmarkStart w:id="132" w:name="database"/>
    <w:p>
      <w:pPr>
        <w:pStyle w:val="Heading1"/>
      </w:pPr>
      <w:r>
        <w:t xml:space="preserve">6. Database</w:t>
      </w:r>
    </w:p>
    <w:bookmarkStart w:id="93" w:name="database-naming-conventions"/>
    <w:p>
      <w:pPr>
        <w:pStyle w:val="Heading2"/>
      </w:pPr>
      <w:r>
        <w:t xml:space="preserve">6.1 Database naming conventions</w:t>
      </w:r>
    </w:p>
    <w:p>
      <w:pPr>
        <w:pStyle w:val="BlockText"/>
      </w:pPr>
      <w:r>
        <w:t xml:space="preserve">There are only two hard things in Computer Science: cache invalidation and naming things. – Phil Karlton (Netscape architect)</w:t>
      </w:r>
    </w:p>
    <w:p>
      <w:pPr>
        <w:pStyle w:val="FirstParagraph"/>
      </w:pPr>
      <w:r>
        <w:t xml:space="preserve">We’re circling the wagons to come up with the best conventions for naming. Here are some ideas:</w:t>
      </w:r>
    </w:p>
    <w:p>
      <w:pPr>
        <w:pStyle w:val="Compact"/>
        <w:numPr>
          <w:ilvl w:val="0"/>
          <w:numId w:val="1010"/>
        </w:numPr>
      </w:pPr>
      <w:hyperlink r:id="rId82">
        <w:r>
          <w:rPr>
            <w:rStyle w:val="Hyperlink"/>
          </w:rPr>
          <w:t xml:space="preserve">Learn SQL: Naming Conventions</w:t>
        </w:r>
      </w:hyperlink>
    </w:p>
    <w:p>
      <w:pPr>
        <w:pStyle w:val="Compact"/>
        <w:numPr>
          <w:ilvl w:val="0"/>
          <w:numId w:val="1010"/>
        </w:numPr>
      </w:pPr>
      <w:hyperlink r:id="rId83">
        <w:r>
          <w:rPr>
            <w:rStyle w:val="Hyperlink"/>
          </w:rPr>
          <w:t xml:space="preserve">Best Practices for Database Naming Conventions - Drygast.NET</w:t>
        </w:r>
      </w:hyperlink>
    </w:p>
    <w:bookmarkStart w:id="84" w:name="name-tables"/>
    <w:p>
      <w:pPr>
        <w:pStyle w:val="Heading3"/>
      </w:pPr>
      <w:r>
        <w:t xml:space="preserve">6.1.1 Name tables</w:t>
      </w:r>
    </w:p>
    <w:p>
      <w:pPr>
        <w:pStyle w:val="Compact"/>
        <w:numPr>
          <w:ilvl w:val="0"/>
          <w:numId w:val="1011"/>
        </w:numPr>
      </w:pPr>
      <w:r>
        <w:t xml:space="preserve">Table names are</w:t>
      </w:r>
      <w:r>
        <w:t xml:space="preserve"> </w:t>
      </w:r>
      <w:r>
        <w:rPr>
          <w:b/>
          <w:bCs/>
        </w:rPr>
        <w:t xml:space="preserve">singular</w:t>
      </w:r>
      <w:r>
        <w:t xml:space="preserve"> </w:t>
      </w:r>
      <w:r>
        <w:t xml:space="preserve">and use all lower case.</w:t>
      </w:r>
    </w:p>
    <w:p>
      <w:pPr>
        <w:pStyle w:val="Compact"/>
        <w:numPr>
          <w:ilvl w:val="1"/>
          <w:numId w:val="1012"/>
        </w:numPr>
      </w:pPr>
      <w:r>
        <w:t xml:space="preserve">Example:</w:t>
      </w:r>
      <w:r>
        <w:t xml:space="preserve"> </w:t>
      </w:r>
      <w:r>
        <w:rPr>
          <w:rStyle w:val="VerbatimChar"/>
        </w:rPr>
        <w:t xml:space="preserve">cruise</w:t>
      </w:r>
      <w:r>
        <w:t xml:space="preserve">,</w:t>
      </w:r>
      <w:r>
        <w:t xml:space="preserve"> </w:t>
      </w:r>
      <w:r>
        <w:rPr>
          <w:rStyle w:val="VerbatimChar"/>
        </w:rPr>
        <w:t xml:space="preserve">site</w:t>
      </w:r>
      <w:r>
        <w:t xml:space="preserve">,</w:t>
      </w:r>
      <w:r>
        <w:t xml:space="preserve"> </w:t>
      </w:r>
      <w:r>
        <w:rPr>
          <w:rStyle w:val="VerbatimChar"/>
        </w:rPr>
        <w:t xml:space="preserve">species</w:t>
      </w:r>
      <w:r>
        <w:t xml:space="preserve">,</w:t>
      </w:r>
      <w:r>
        <w:t xml:space="preserve"> </w:t>
      </w:r>
      <w:r>
        <w:rPr>
          <w:rStyle w:val="VerbatimChar"/>
        </w:rPr>
        <w:t xml:space="preserve">lookup</w:t>
      </w:r>
      <w:r>
        <w:t xml:space="preserve"> </w:t>
      </w:r>
      <w:r>
        <w:t xml:space="preserve">(not</w:t>
      </w:r>
      <w:r>
        <w:t xml:space="preserve"> </w:t>
      </w:r>
      <w:r>
        <w:rPr>
          <w:rStyle w:val="VerbatimChar"/>
        </w:rPr>
        <w:t xml:space="preserve">cruises</w:t>
      </w:r>
      <w:r>
        <w:t xml:space="preserve">,</w:t>
      </w:r>
      <w:r>
        <w:t xml:space="preserve"> </w:t>
      </w:r>
      <w:r>
        <w:rPr>
          <w:rStyle w:val="VerbatimChar"/>
        </w:rPr>
        <w:t xml:space="preserve">sites</w:t>
      </w:r>
      <w:r>
        <w:t xml:space="preserve">,</w:t>
      </w:r>
      <w:r>
        <w:t xml:space="preserve"> </w:t>
      </w:r>
      <w:r>
        <w:rPr>
          <w:rStyle w:val="VerbatimChar"/>
        </w:rPr>
        <w:t xml:space="preserve">lookups</w:t>
      </w:r>
      <w:r>
        <w:t xml:space="preserve">)</w:t>
      </w:r>
    </w:p>
    <w:bookmarkEnd w:id="84"/>
    <w:bookmarkStart w:id="91" w:name="name-columns"/>
    <w:p>
      <w:pPr>
        <w:pStyle w:val="Heading3"/>
      </w:pPr>
      <w:r>
        <w:t xml:space="preserve">6.1.2 Name columns</w:t>
      </w:r>
    </w:p>
    <w:p>
      <w:pPr>
        <w:numPr>
          <w:ilvl w:val="0"/>
          <w:numId w:val="1013"/>
        </w:numPr>
      </w:pPr>
      <w:r>
        <w:t xml:space="preserve">To name columns, use</w:t>
      </w:r>
      <w:r>
        <w:t xml:space="preserve"> </w:t>
      </w:r>
      <w:hyperlink r:id="rId85">
        <w:r>
          <w:rPr>
            <w:rStyle w:val="Hyperlink"/>
            <w:b/>
            <w:bCs/>
          </w:rPr>
          <w:t xml:space="preserve">snake-case</w:t>
        </w:r>
      </w:hyperlink>
      <w:r>
        <w:t xml:space="preserve"> </w:t>
      </w:r>
      <w:r>
        <w:t xml:space="preserve">(i.e., lower-case with underscores) so as to prevent the need to quote SQL statements. (TIP: Use</w:t>
      </w:r>
      <w:r>
        <w:t xml:space="preserve"> </w:t>
      </w:r>
      <w:hyperlink r:id="rId86">
        <w:r>
          <w:rPr>
            <w:rStyle w:val="VerbatimChar"/>
          </w:rPr>
          <w:t xml:space="preserve">janitor::clean_names()</w:t>
        </w:r>
      </w:hyperlink>
      <w:r>
        <w:t xml:space="preserve"> </w:t>
      </w:r>
      <w:r>
        <w:t xml:space="preserve">to convert a table.)</w:t>
      </w:r>
    </w:p>
    <w:p>
      <w:pPr>
        <w:numPr>
          <w:ilvl w:val="0"/>
          <w:numId w:val="1013"/>
        </w:numPr>
      </w:pPr>
      <w:r>
        <w:t xml:space="preserve">Unique</w:t>
      </w:r>
      <w:r>
        <w:t xml:space="preserve"> </w:t>
      </w:r>
      <w:r>
        <w:rPr>
          <w:b/>
          <w:bCs/>
        </w:rPr>
        <w:t xml:space="preserve">identifiers</w:t>
      </w:r>
      <w:r>
        <w:t xml:space="preserve"> </w:t>
      </w:r>
      <w:r>
        <w:t xml:space="preserve">are suffixed with:</w:t>
      </w:r>
    </w:p>
    <w:p>
      <w:pPr>
        <w:pStyle w:val="Compact"/>
        <w:numPr>
          <w:ilvl w:val="1"/>
          <w:numId w:val="1014"/>
        </w:numPr>
      </w:pPr>
      <w:r>
        <w:rPr>
          <w:rStyle w:val="VerbatimChar"/>
        </w:rPr>
        <w:t xml:space="preserve">*_id</w:t>
      </w:r>
      <w:r>
        <w:t xml:space="preserve"> </w:t>
      </w:r>
      <w:r>
        <w:t xml:space="preserve">for unique integer keys;</w:t>
      </w:r>
    </w:p>
    <w:p>
      <w:pPr>
        <w:pStyle w:val="Compact"/>
        <w:numPr>
          <w:ilvl w:val="1"/>
          <w:numId w:val="1014"/>
        </w:numPr>
      </w:pPr>
      <w:r>
        <w:rPr>
          <w:rStyle w:val="VerbatimChar"/>
        </w:rPr>
        <w:t xml:space="preserve">*_uuid</w:t>
      </w:r>
      <w:r>
        <w:t xml:space="preserve"> </w:t>
      </w:r>
      <w:r>
        <w:t xml:space="preserve">for universally unique identifiers as defined by</w:t>
      </w:r>
      <w:r>
        <w:t xml:space="preserve"> </w:t>
      </w:r>
      <w:hyperlink r:id="rId87">
        <w:r>
          <w:rPr>
            <w:rStyle w:val="Hyperlink"/>
          </w:rPr>
          <w:t xml:space="preserve">RFC 4122</w:t>
        </w:r>
      </w:hyperlink>
      <w:r>
        <w:t xml:space="preserve"> </w:t>
      </w:r>
      <w:r>
        <w:t xml:space="preserve">and stored in Postgres as</w:t>
      </w:r>
      <w:r>
        <w:t xml:space="preserve"> </w:t>
      </w:r>
      <w:hyperlink r:id="rId88">
        <w:r>
          <w:rPr>
            <w:rStyle w:val="Hyperlink"/>
          </w:rPr>
          <w:t xml:space="preserve">UUID Type</w:t>
        </w:r>
      </w:hyperlink>
      <w:r>
        <w:t xml:space="preserve">.</w:t>
      </w:r>
    </w:p>
    <w:p>
      <w:pPr>
        <w:pStyle w:val="Compact"/>
        <w:numPr>
          <w:ilvl w:val="1"/>
          <w:numId w:val="1014"/>
        </w:numPr>
      </w:pPr>
      <w:r>
        <w:rPr>
          <w:rStyle w:val="VerbatimChar"/>
        </w:rPr>
        <w:t xml:space="preserve">*_key</w:t>
      </w:r>
      <w:r>
        <w:t xml:space="preserve"> </w:t>
      </w:r>
      <w:r>
        <w:t xml:space="preserve">for unique string keys;</w:t>
      </w:r>
    </w:p>
    <w:p>
      <w:pPr>
        <w:pStyle w:val="Compact"/>
        <w:numPr>
          <w:ilvl w:val="1"/>
          <w:numId w:val="1014"/>
        </w:numPr>
      </w:pPr>
      <w:r>
        <w:rPr>
          <w:rStyle w:val="VerbatimChar"/>
        </w:rPr>
        <w:t xml:space="preserve">*_seq</w:t>
      </w:r>
      <w:r>
        <w:t xml:space="preserve"> </w:t>
      </w:r>
      <w:r>
        <w:t xml:space="preserve">for auto-incrementing sequence integer keys.</w:t>
      </w:r>
    </w:p>
    <w:p>
      <w:pPr>
        <w:numPr>
          <w:ilvl w:val="0"/>
          <w:numId w:val="1013"/>
        </w:numPr>
      </w:pPr>
      <w:r>
        <w:t xml:space="preserve">Suffix with</w:t>
      </w:r>
      <w:r>
        <w:t xml:space="preserve"> </w:t>
      </w:r>
      <w:r>
        <w:rPr>
          <w:b/>
          <w:bCs/>
        </w:rPr>
        <w:t xml:space="preserve">units</w:t>
      </w:r>
      <w:r>
        <w:t xml:space="preserve"> </w:t>
      </w:r>
      <w:r>
        <w:t xml:space="preserve">where applicable (e.g.,</w:t>
      </w:r>
      <w:r>
        <w:t xml:space="preserve"> </w:t>
      </w:r>
      <w:r>
        <w:rPr>
          <w:rStyle w:val="VerbatimChar"/>
        </w:rPr>
        <w:t xml:space="preserve">*_m</w:t>
      </w:r>
      <w:r>
        <w:t xml:space="preserve"> </w:t>
      </w:r>
      <w:r>
        <w:t xml:space="preserve">for meters,</w:t>
      </w:r>
      <w:r>
        <w:t xml:space="preserve"> </w:t>
      </w:r>
      <w:r>
        <w:rPr>
          <w:rStyle w:val="VerbatimChar"/>
        </w:rPr>
        <w:t xml:space="preserve">*_km</w:t>
      </w:r>
      <w:r>
        <w:t xml:space="preserve"> </w:t>
      </w:r>
      <w:r>
        <w:t xml:space="preserve">for kilometers,</w:t>
      </w:r>
      <w:r>
        <w:t xml:space="preserve"> </w:t>
      </w:r>
      <w:r>
        <w:rPr>
          <w:rStyle w:val="VerbatimChar"/>
        </w:rPr>
        <w:t xml:space="preserve">degc</w:t>
      </w:r>
      <w:r>
        <w:t xml:space="preserve"> </w:t>
      </w:r>
      <w:r>
        <w:t xml:space="preserve">for degrees Celsius). See</w:t>
      </w:r>
      <w:r>
        <w:t xml:space="preserve"> </w:t>
      </w:r>
      <w:hyperlink r:id="rId89">
        <w:r>
          <w:rPr>
            <w:rStyle w:val="Hyperlink"/>
          </w:rPr>
          <w:t xml:space="preserve">units vignette</w:t>
        </w:r>
      </w:hyperlink>
      <w:r>
        <w:t xml:space="preserve">.</w:t>
      </w:r>
    </w:p>
    <w:p>
      <w:pPr>
        <w:numPr>
          <w:ilvl w:val="0"/>
          <w:numId w:val="1013"/>
        </w:numPr>
      </w:pPr>
      <w:r>
        <w:t xml:space="preserve">Set geometry column to</w:t>
      </w:r>
      <w:r>
        <w:t xml:space="preserve"> </w:t>
      </w:r>
      <w:r>
        <w:rPr>
          <w:rStyle w:val="VerbatimChar"/>
          <w:b/>
          <w:bCs/>
        </w:rPr>
        <w:t xml:space="preserve">geom</w:t>
      </w:r>
      <w:r>
        <w:t xml:space="preserve"> </w:t>
      </w:r>
      <w:r>
        <w:t xml:space="preserve">(used by</w:t>
      </w:r>
      <w:r>
        <w:t xml:space="preserve"> </w:t>
      </w:r>
      <w:hyperlink r:id="rId90">
        <w:r>
          <w:rPr>
            <w:rStyle w:val="Hyperlink"/>
          </w:rPr>
          <w:t xml:space="preserve">PostGIS</w:t>
        </w:r>
      </w:hyperlink>
      <w:r>
        <w:t xml:space="preserve"> </w:t>
      </w:r>
      <w:r>
        <w:t xml:space="preserve">spatial extension). If the table has multiple geometry columns, use</w:t>
      </w:r>
      <w:r>
        <w:t xml:space="preserve"> </w:t>
      </w:r>
      <w:r>
        <w:rPr>
          <w:rStyle w:val="VerbatimChar"/>
        </w:rPr>
        <w:t xml:space="preserve">geom</w:t>
      </w:r>
      <w:r>
        <w:t xml:space="preserve"> </w:t>
      </w:r>
      <w:r>
        <w:t xml:space="preserve">for the default geometry column and</w:t>
      </w:r>
      <w:r>
        <w:t xml:space="preserve"> </w:t>
      </w:r>
      <w:r>
        <w:rPr>
          <w:rStyle w:val="VerbatimChar"/>
        </w:rPr>
        <w:t xml:space="preserve">geom_{type}</w:t>
      </w:r>
      <w:r>
        <w:t xml:space="preserve"> </w:t>
      </w:r>
      <w:r>
        <w:t xml:space="preserve">for additional geometry columns (e.g.,</w:t>
      </w:r>
      <w:r>
        <w:t xml:space="preserve"> </w:t>
      </w:r>
      <w:r>
        <w:rPr>
          <w:rStyle w:val="VerbatimChar"/>
        </w:rPr>
        <w:t xml:space="preserve">geom_point</w:t>
      </w:r>
      <w:r>
        <w:t xml:space="preserve">,</w:t>
      </w:r>
      <w:r>
        <w:t xml:space="preserve"> </w:t>
      </w:r>
      <w:r>
        <w:rPr>
          <w:rStyle w:val="VerbatimChar"/>
        </w:rPr>
        <w:t xml:space="preserve">geom_line</w:t>
      </w:r>
      <w:r>
        <w:t xml:space="preserve">,</w:t>
      </w:r>
      <w:r>
        <w:t xml:space="preserve"> </w:t>
      </w:r>
      <w:r>
        <w:rPr>
          <w:rStyle w:val="VerbatimChar"/>
        </w:rPr>
        <w:t xml:space="preserve">geom_polygon</w:t>
      </w:r>
      <w:r>
        <w:t xml:space="preserve">).</w:t>
      </w:r>
    </w:p>
    <w:bookmarkEnd w:id="91"/>
    <w:bookmarkStart w:id="92" w:name="primary-key-conventions"/>
    <w:p>
      <w:pPr>
        <w:pStyle w:val="Heading3"/>
      </w:pPr>
      <w:r>
        <w:t xml:space="preserve">6.1.3 Primary key conventions</w:t>
      </w:r>
    </w:p>
    <w:p>
      <w:pPr>
        <w:pStyle w:val="FirstParagraph"/>
      </w:pPr>
      <w:r>
        <w:rPr>
          <w:b/>
          <w:bCs/>
        </w:rPr>
        <w:t xml:space="preserve">Prefer natural keys</w:t>
      </w:r>
      <w:r>
        <w:t xml:space="preserve"> </w:t>
      </w:r>
      <w:r>
        <w:t xml:space="preserve">(meaningful domain identifiers) over surrogate keys where stable:</w:t>
      </w:r>
    </w:p>
    <w:p>
      <w:pPr>
        <w:pStyle w:val="Compact"/>
        <w:numPr>
          <w:ilvl w:val="0"/>
          <w:numId w:val="1015"/>
        </w:numPr>
      </w:pPr>
      <w:r>
        <w:rPr>
          <w:rStyle w:val="VerbatimChar"/>
        </w:rPr>
        <w:t xml:space="preserve">cruise_key</w:t>
      </w:r>
      <w:r>
        <w:t xml:space="preserve"> </w:t>
      </w:r>
      <w:r>
        <w:t xml:space="preserve">=</w:t>
      </w:r>
      <w:r>
        <w:t xml:space="preserve"> </w:t>
      </w:r>
      <w:r>
        <w:t xml:space="preserve">‘YYMMKK’</w:t>
      </w:r>
      <w:r>
        <w:t xml:space="preserve"> </w:t>
      </w:r>
      <w:r>
        <w:t xml:space="preserve">(e.g.,</w:t>
      </w:r>
      <w:r>
        <w:t xml:space="preserve"> </w:t>
      </w:r>
      <w:r>
        <w:rPr>
          <w:rStyle w:val="VerbatimChar"/>
        </w:rPr>
        <w:t xml:space="preserve">2401NH</w:t>
      </w:r>
      <w:r>
        <w:t xml:space="preserve"> </w:t>
      </w:r>
      <w:r>
        <w:t xml:space="preserve">= January 2024, New Horizon)</w:t>
      </w:r>
    </w:p>
    <w:p>
      <w:pPr>
        <w:pStyle w:val="Compact"/>
        <w:numPr>
          <w:ilvl w:val="0"/>
          <w:numId w:val="1015"/>
        </w:numPr>
      </w:pPr>
      <w:r>
        <w:rPr>
          <w:rStyle w:val="VerbatimChar"/>
        </w:rPr>
        <w:t xml:space="preserve">ship_key</w:t>
      </w:r>
      <w:r>
        <w:t xml:space="preserve"> </w:t>
      </w:r>
      <w:r>
        <w:t xml:space="preserve">= 2-letter ship code (e.g.,</w:t>
      </w:r>
      <w:r>
        <w:t xml:space="preserve"> </w:t>
      </w:r>
      <w:r>
        <w:rPr>
          <w:rStyle w:val="VerbatimChar"/>
        </w:rPr>
        <w:t xml:space="preserve">NH</w:t>
      </w:r>
      <w:r>
        <w:t xml:space="preserve">)</w:t>
      </w:r>
    </w:p>
    <w:p>
      <w:pPr>
        <w:pStyle w:val="Compact"/>
        <w:numPr>
          <w:ilvl w:val="0"/>
          <w:numId w:val="1015"/>
        </w:numPr>
      </w:pPr>
      <w:r>
        <w:rPr>
          <w:rStyle w:val="VerbatimChar"/>
        </w:rPr>
        <w:t xml:space="preserve">tow_type_key</w:t>
      </w:r>
      <w:r>
        <w:t xml:space="preserve"> </w:t>
      </w:r>
      <w:r>
        <w:t xml:space="preserve">= tow type code (e.g.,</w:t>
      </w:r>
      <w:r>
        <w:t xml:space="preserve"> </w:t>
      </w:r>
      <w:r>
        <w:rPr>
          <w:rStyle w:val="VerbatimChar"/>
        </w:rPr>
        <w:t xml:space="preserve">CB</w:t>
      </w:r>
      <w:r>
        <w:t xml:space="preserve">)</w:t>
      </w:r>
    </w:p>
    <w:p>
      <w:pPr>
        <w:pStyle w:val="FirstParagraph"/>
      </w:pPr>
      <w:r>
        <w:rPr>
          <w:b/>
          <w:bCs/>
        </w:rPr>
        <w:t xml:space="preserve">Sequential integer keys</w:t>
      </w:r>
      <w:r>
        <w:t xml:space="preserve"> </w:t>
      </w:r>
      <w:r>
        <w:t xml:space="preserve">should have explicit sort order documented for reproducibility:</w:t>
      </w:r>
    </w:p>
    <w:p>
      <w:pPr>
        <w:pStyle w:val="Compact"/>
        <w:numPr>
          <w:ilvl w:val="0"/>
          <w:numId w:val="1016"/>
        </w:numPr>
      </w:pPr>
      <w:r>
        <w:rPr>
          <w:rStyle w:val="VerbatimChar"/>
        </w:rPr>
        <w:t xml:space="preserve">site_id</w:t>
      </w:r>
      <w:r>
        <w:t xml:space="preserve"> </w:t>
      </w:r>
      <w:r>
        <w:t xml:space="preserve">sorted by</w:t>
      </w:r>
      <w:r>
        <w:t xml:space="preserve"> </w:t>
      </w:r>
      <w:r>
        <w:rPr>
          <w:rStyle w:val="VerbatimChar"/>
        </w:rPr>
        <w:t xml:space="preserve">cruise_key, orderocc</w:t>
      </w:r>
    </w:p>
    <w:p>
      <w:pPr>
        <w:pStyle w:val="Compact"/>
        <w:numPr>
          <w:ilvl w:val="0"/>
          <w:numId w:val="1016"/>
        </w:numPr>
      </w:pPr>
      <w:r>
        <w:rPr>
          <w:rStyle w:val="VerbatimChar"/>
        </w:rPr>
        <w:t xml:space="preserve">tow_id</w:t>
      </w:r>
      <w:r>
        <w:t xml:space="preserve"> </w:t>
      </w:r>
      <w:r>
        <w:t xml:space="preserve">sorted by</w:t>
      </w:r>
      <w:r>
        <w:t xml:space="preserve"> </w:t>
      </w:r>
      <w:r>
        <w:rPr>
          <w:rStyle w:val="VerbatimChar"/>
        </w:rPr>
        <w:t xml:space="preserve">site_id, time_start</w:t>
      </w:r>
    </w:p>
    <w:p>
      <w:pPr>
        <w:pStyle w:val="Compact"/>
        <w:numPr>
          <w:ilvl w:val="0"/>
          <w:numId w:val="1016"/>
        </w:numPr>
      </w:pPr>
      <w:r>
        <w:rPr>
          <w:rStyle w:val="VerbatimChar"/>
        </w:rPr>
        <w:t xml:space="preserve">net_id</w:t>
      </w:r>
      <w:r>
        <w:t xml:space="preserve"> </w:t>
      </w:r>
      <w:r>
        <w:t xml:space="preserve">sorted by</w:t>
      </w:r>
      <w:r>
        <w:t xml:space="preserve"> </w:t>
      </w:r>
      <w:r>
        <w:rPr>
          <w:rStyle w:val="VerbatimChar"/>
        </w:rPr>
        <w:t xml:space="preserve">tow_id, side</w:t>
      </w:r>
    </w:p>
    <w:p>
      <w:pPr>
        <w:pStyle w:val="Compact"/>
        <w:numPr>
          <w:ilvl w:val="0"/>
          <w:numId w:val="1016"/>
        </w:numPr>
      </w:pPr>
      <w:r>
        <w:rPr>
          <w:rStyle w:val="VerbatimChar"/>
        </w:rPr>
        <w:t xml:space="preserve">ichthyo_id</w:t>
      </w:r>
      <w:r>
        <w:t xml:space="preserve"> </w:t>
      </w:r>
      <w:r>
        <w:t xml:space="preserve">sorted by</w:t>
      </w:r>
      <w:r>
        <w:t xml:space="preserve"> </w:t>
      </w:r>
      <w:r>
        <w:rPr>
          <w:rStyle w:val="VerbatimChar"/>
        </w:rPr>
        <w:t xml:space="preserve">net_id, species_id, life_stage, measurement_type, measurement_value</w:t>
      </w:r>
    </w:p>
    <w:p>
      <w:pPr>
        <w:pStyle w:val="FirstParagraph"/>
      </w:pPr>
      <w:r>
        <w:rPr>
          <w:b/>
          <w:bCs/>
        </w:rPr>
        <w:t xml:space="preserve">Avoid UUIDs in output tables</w:t>
      </w:r>
      <w:r>
        <w:t xml:space="preserve">: Use</w:t>
      </w:r>
      <w:r>
        <w:t xml:space="preserve"> </w:t>
      </w:r>
      <w:r>
        <w:rPr>
          <w:rStyle w:val="VerbatimChar"/>
        </w:rPr>
        <w:t xml:space="preserve">_source_uuid</w:t>
      </w:r>
      <w:r>
        <w:t xml:space="preserve"> </w:t>
      </w:r>
      <w:r>
        <w:t xml:space="preserve">in Working DuckLake for provenance tracking only (stripped in frozen releases).</w:t>
      </w:r>
    </w:p>
    <w:bookmarkEnd w:id="92"/>
    <w:bookmarkEnd w:id="93"/>
    <w:bookmarkStart w:id="101" w:name="use-unicode-for-text"/>
    <w:p>
      <w:pPr>
        <w:pStyle w:val="Heading2"/>
      </w:pPr>
      <w:r>
        <w:t xml:space="preserve">6.2 Use Unicode for text</w:t>
      </w:r>
    </w:p>
    <w:p>
      <w:pPr>
        <w:pStyle w:val="FirstParagraph"/>
      </w:pPr>
      <w:r>
        <w:t xml:space="preserve">The</w:t>
      </w:r>
      <w:r>
        <w:t xml:space="preserve"> </w:t>
      </w:r>
      <w:hyperlink r:id="rId94">
        <w:r>
          <w:rPr>
            <w:rStyle w:val="Hyperlink"/>
          </w:rPr>
          <w:t xml:space="preserve">default character encoding for Postgresql</w:t>
        </w:r>
      </w:hyperlink>
      <w:r>
        <w:t xml:space="preserve"> </w:t>
      </w:r>
      <w:r>
        <w:t xml:space="preserve">is unicode (</w:t>
      </w:r>
      <w:r>
        <w:rPr>
          <w:rStyle w:val="VerbatimChar"/>
        </w:rPr>
        <w:t xml:space="preserve">UTF8</w:t>
      </w:r>
      <w:r>
        <w:t xml:space="preserve">), which allows for international characters, accents and special characters. Improper encoding can royally mess up basic text.</w:t>
      </w:r>
    </w:p>
    <w:p>
      <w:pPr>
        <w:pStyle w:val="BodyText"/>
      </w:pPr>
      <w:r>
        <w:t xml:space="preserve">Logging into the server, we can see this with the following command:</w:t>
      </w:r>
    </w:p>
    <w:p>
      <w:pPr>
        <w:pStyle w:val="SourceCode"/>
      </w:pPr>
      <w:r>
        <w:rPr>
          <w:rStyle w:val="ExtensionTok"/>
        </w:rPr>
        <w:t xml:space="preserve">docker</w:t>
      </w:r>
      <w:r>
        <w:rPr>
          <w:rStyle w:val="NormalTok"/>
        </w:rPr>
        <w:t xml:space="preserve"> exec </w:t>
      </w:r>
      <w:r>
        <w:rPr>
          <w:rStyle w:val="AttributeTok"/>
        </w:rPr>
        <w:t xml:space="preserve">-it</w:t>
      </w:r>
      <w:r>
        <w:rPr>
          <w:rStyle w:val="NormalTok"/>
        </w:rPr>
        <w:t xml:space="preserve"> postgis psql </w:t>
      </w:r>
      <w:r>
        <w:rPr>
          <w:rStyle w:val="AttributeTok"/>
        </w:rPr>
        <w:t xml:space="preserve">-l</w:t>
      </w:r>
    </w:p>
    <w:p>
      <w:pPr>
        <w:pStyle w:val="SourceCode"/>
      </w:pPr>
      <w:r>
        <w:rPr>
          <w:rStyle w:val="VerbatimChar"/>
        </w:rPr>
        <w:t xml:space="preserve">                                  List of databases</w:t>
      </w:r>
      <w:r>
        <w:br/>
      </w:r>
      <w:r>
        <w:rPr>
          <w:rStyle w:val="VerbatimChar"/>
        </w:rPr>
        <w:t xml:space="preserve">        Name        | Owner | Encoding |  Collate   |   Ctype    | Access privileges </w:t>
      </w:r>
      <w:r>
        <w:br/>
      </w:r>
      <w:r>
        <w:rPr>
          <w:rStyle w:val="VerbatimChar"/>
        </w:rPr>
        <w:t xml:space="preserve">--------------------+-------+----------+------------+------------+-------------------</w:t>
      </w:r>
      <w:r>
        <w:br/>
      </w:r>
      <w:r>
        <w:rPr>
          <w:rStyle w:val="VerbatimChar"/>
        </w:rPr>
        <w:t xml:space="preserve"> gis                | admin | UTF8     | en_US.utf8 | en_US.utf8 | =Tc/admin        +</w:t>
      </w:r>
      <w:r>
        <w:br/>
      </w:r>
      <w:r>
        <w:rPr>
          <w:rStyle w:val="VerbatimChar"/>
        </w:rPr>
        <w:t xml:space="preserve">                    |       |          |            |            | admin=CTc/admin  +</w:t>
      </w:r>
      <w:r>
        <w:br/>
      </w:r>
      <w:r>
        <w:rPr>
          <w:rStyle w:val="VerbatimChar"/>
        </w:rPr>
        <w:t xml:space="preserve">                    |       |          |            |            | ro_user=c/admin</w:t>
      </w:r>
      <w:r>
        <w:br/>
      </w:r>
      <w:r>
        <w:rPr>
          <w:rStyle w:val="VerbatimChar"/>
        </w:rPr>
        <w:t xml:space="preserve"> lter_core_metabase | admin | UTF8     | en_US.utf8 | en_US.utf8 | =Tc/admin        +</w:t>
      </w:r>
      <w:r>
        <w:br/>
      </w:r>
      <w:r>
        <w:rPr>
          <w:rStyle w:val="VerbatimChar"/>
        </w:rPr>
        <w:t xml:space="preserve">                    |       |          |            |            | admin=CTc/admin  +</w:t>
      </w:r>
      <w:r>
        <w:br/>
      </w:r>
      <w:r>
        <w:rPr>
          <w:rStyle w:val="VerbatimChar"/>
        </w:rPr>
        <w:t xml:space="preserve">                    |       |          |            |            | rw_user=c/admin</w:t>
      </w:r>
      <w:r>
        <w:br/>
      </w:r>
      <w:r>
        <w:rPr>
          <w:rStyle w:val="VerbatimChar"/>
        </w:rPr>
        <w:t xml:space="preserve"> postgres           | admin | UTF8     | en_US.utf8 | en_US.utf8 | </w:t>
      </w:r>
      <w:r>
        <w:br/>
      </w:r>
      <w:r>
        <w:rPr>
          <w:rStyle w:val="VerbatimChar"/>
        </w:rPr>
        <w:t xml:space="preserve"> template0          | admin | UTF8     | en_US.utf8 | en_US.utf8 | =c/admin         +</w:t>
      </w:r>
      <w:r>
        <w:br/>
      </w:r>
      <w:r>
        <w:rPr>
          <w:rStyle w:val="VerbatimChar"/>
        </w:rPr>
        <w:t xml:space="preserve">                    |       |          |            |            | admin=CTc/admin</w:t>
      </w:r>
      <w:r>
        <w:br/>
      </w:r>
      <w:r>
        <w:rPr>
          <w:rStyle w:val="VerbatimChar"/>
        </w:rPr>
        <w:t xml:space="preserve"> template1          | admin | UTF8     | en_US.utf8 | en_US.utf8 | =c/admin         +</w:t>
      </w:r>
      <w:r>
        <w:br/>
      </w:r>
      <w:r>
        <w:rPr>
          <w:rStyle w:val="VerbatimChar"/>
        </w:rPr>
        <w:t xml:space="preserve">                    |       |          |            |            | admin=CTc/admin</w:t>
      </w:r>
      <w:r>
        <w:br/>
      </w:r>
      <w:r>
        <w:rPr>
          <w:rStyle w:val="VerbatimChar"/>
        </w:rPr>
        <w:t xml:space="preserve"> template_postgis   | admin | UTF8     | en_US.utf8 | en_US.utf8 | </w:t>
      </w:r>
      <w:r>
        <w:br/>
      </w:r>
      <w:r>
        <w:rPr>
          <w:rStyle w:val="VerbatimChar"/>
        </w:rPr>
        <w:t xml:space="preserve">(6 rows)</w:t>
      </w:r>
    </w:p>
    <w:p>
      <w:pPr>
        <w:pStyle w:val="FirstParagraph"/>
      </w:pPr>
      <w:r>
        <w:t xml:space="preserve">Use Unicode (</w:t>
      </w:r>
      <w:r>
        <w:rPr>
          <w:rStyle w:val="VerbatimChar"/>
        </w:rPr>
        <w:t xml:space="preserve">utf-8</w:t>
      </w:r>
      <w:r>
        <w:t xml:space="preserve"> </w:t>
      </w:r>
      <w:r>
        <w:t xml:space="preserve">in Python or</w:t>
      </w:r>
      <w:r>
        <w:t xml:space="preserve"> </w:t>
      </w:r>
      <w:r>
        <w:rPr>
          <w:rStyle w:val="VerbatimChar"/>
        </w:rPr>
        <w:t xml:space="preserve">UTF8</w:t>
      </w:r>
      <w:r>
        <w:t xml:space="preserve"> </w:t>
      </w:r>
      <w:r>
        <w:t xml:space="preserve">in Postgresql) encoding for all database text values to support international characters and documentation (i.e., tabs, etc for markdown conversion).</w:t>
      </w:r>
    </w:p>
    <w:p>
      <w:pPr>
        <w:numPr>
          <w:ilvl w:val="0"/>
          <w:numId w:val="1017"/>
        </w:numPr>
      </w:pPr>
      <w:r>
        <w:t xml:space="preserve">In</w:t>
      </w:r>
      <w:r>
        <w:t xml:space="preserve"> </w:t>
      </w:r>
      <w:r>
        <w:rPr>
          <w:b/>
          <w:bCs/>
        </w:rPr>
        <w:t xml:space="preserve">Python</w:t>
      </w:r>
      <w:r>
        <w:t xml:space="preserve">, use</w:t>
      </w:r>
      <w:r>
        <w:t xml:space="preserve"> </w:t>
      </w:r>
      <w:hyperlink r:id="rId95">
        <w:r>
          <w:rPr>
            <w:rStyle w:val="VerbatimChar"/>
            <w:b/>
            <w:bCs/>
          </w:rPr>
          <w:t xml:space="preserve">pandas</w:t>
        </w:r>
      </w:hyperlink>
      <w:r>
        <w:t xml:space="preserve"> </w:t>
      </w:r>
      <w:r>
        <w:t xml:space="preserve">to read (</w:t>
      </w:r>
      <w:hyperlink r:id="rId96">
        <w:r>
          <w:rPr>
            <w:rStyle w:val="VerbatimChar"/>
          </w:rPr>
          <w:t xml:space="preserve">read_csv()</w:t>
        </w:r>
      </w:hyperlink>
      <w:r>
        <w:t xml:space="preserve">) and write (</w:t>
      </w:r>
      <w:hyperlink r:id="rId97">
        <w:r>
          <w:rPr>
            <w:rStyle w:val="VerbatimChar"/>
          </w:rPr>
          <w:t xml:space="preserve">to_csv()</w:t>
        </w:r>
      </w:hyperlink>
      <w:r>
        <w:t xml:space="preserve">) with UTF-8 encoding (i.e.,</w:t>
      </w:r>
      <w:r>
        <w:t xml:space="preserve"> </w:t>
      </w:r>
      <w:r>
        <w:rPr>
          <w:rStyle w:val="VerbatimChar"/>
        </w:rPr>
        <w:t xml:space="preserve">encoding='utf-8'</w:t>
      </w:r>
      <w:r>
        <w:t xml:space="preserve">).:</w:t>
      </w:r>
    </w:p>
    <w:p>
      <w:pPr>
        <w:pStyle w:val="SourceCode"/>
        <w:numPr>
          <w:ilvl w:val="0"/>
          <w:numId w:val="1000"/>
        </w:numPr>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from</w:t>
      </w:r>
      <w:r>
        <w:rPr>
          <w:rStyle w:val="NormalTok"/>
        </w:rPr>
        <w:t xml:space="preserve"> sqlalchemy </w:t>
      </w:r>
      <w:r>
        <w:rPr>
          <w:rStyle w:val="ImportTok"/>
        </w:rPr>
        <w:t xml:space="preserve">import</w:t>
      </w:r>
      <w:r>
        <w:rPr>
          <w:rStyle w:val="NormalTok"/>
        </w:rPr>
        <w:t xml:space="preserve"> create_engine</w:t>
      </w:r>
      <w:r>
        <w:br/>
      </w:r>
      <w:r>
        <w:rPr>
          <w:rStyle w:val="NormalTok"/>
        </w:rPr>
        <w:t xml:space="preserve">engine </w:t>
      </w:r>
      <w:r>
        <w:rPr>
          <w:rStyle w:val="OperatorTok"/>
        </w:rPr>
        <w:t xml:space="preserve">=</w:t>
      </w:r>
      <w:r>
        <w:rPr>
          <w:rStyle w:val="NormalTok"/>
        </w:rPr>
        <w:t xml:space="preserve"> create_engine(</w:t>
      </w:r>
      <w:r>
        <w:rPr>
          <w:rStyle w:val="StringTok"/>
        </w:rPr>
        <w:t xml:space="preserve">'postgresql://user:password@localhost:5432/dbname'</w:t>
      </w:r>
      <w:r>
        <w:rPr>
          <w:rStyle w:val="NormalTok"/>
        </w:rPr>
        <w:t xml:space="preserve">)</w:t>
      </w:r>
      <w:r>
        <w:br/>
      </w:r>
      <w:r>
        <w:br/>
      </w:r>
      <w:r>
        <w:rPr>
          <w:rStyle w:val="CommentTok"/>
        </w:rPr>
        <w:t xml:space="preserve"># read from a csv file</w:t>
      </w:r>
      <w:r>
        <w:br/>
      </w:r>
      <w:r>
        <w:rPr>
          <w:rStyle w:val="NormalTok"/>
        </w:rPr>
        <w:t xml:space="preserve">df </w:t>
      </w:r>
      <w:r>
        <w:rPr>
          <w:rStyle w:val="OperatorTok"/>
        </w:rPr>
        <w:t xml:space="preserve">=</w:t>
      </w:r>
      <w:r>
        <w:rPr>
          <w:rStyle w:val="NormalTok"/>
        </w:rPr>
        <w:t xml:space="preserve"> pd.read_csv(</w:t>
      </w:r>
      <w:r>
        <w:rPr>
          <w:rStyle w:val="StringTok"/>
        </w:rPr>
        <w:t xml:space="preserve">'file.csv'</w:t>
      </w:r>
      <w:r>
        <w:rPr>
          <w:rStyle w:val="NormalTok"/>
        </w:rPr>
        <w:t xml:space="preserve">, encoding</w:t>
      </w:r>
      <w:r>
        <w:rPr>
          <w:rStyle w:val="OperatorTok"/>
        </w:rPr>
        <w:t xml:space="preserve">=</w:t>
      </w:r>
      <w:r>
        <w:rPr>
          <w:rStyle w:val="StringTok"/>
        </w:rPr>
        <w:t xml:space="preserve">'utf-8'</w:t>
      </w:r>
      <w:r>
        <w:rPr>
          <w:rStyle w:val="NormalTok"/>
        </w:rPr>
        <w:t xml:space="preserve">)</w:t>
      </w:r>
      <w:r>
        <w:br/>
      </w:r>
      <w:r>
        <w:br/>
      </w:r>
      <w:r>
        <w:rPr>
          <w:rStyle w:val="CommentTok"/>
        </w:rPr>
        <w:t xml:space="preserve"># write to PostgreSQL</w:t>
      </w:r>
      <w:r>
        <w:br/>
      </w:r>
      <w:r>
        <w:rPr>
          <w:rStyle w:val="NormalTok"/>
        </w:rPr>
        <w:t xml:space="preserve">df.to_sql(</w:t>
      </w:r>
      <w:r>
        <w:rPr>
          <w:rStyle w:val="StringTok"/>
        </w:rPr>
        <w:t xml:space="preserve">'table_name'</w:t>
      </w:r>
      <w:r>
        <w:rPr>
          <w:rStyle w:val="NormalTok"/>
        </w:rPr>
        <w:t xml:space="preserve">, engine, if_exists</w:t>
      </w:r>
      <w:r>
        <w:rPr>
          <w:rStyle w:val="OperatorTok"/>
        </w:rPr>
        <w:t xml:space="preserve">=</w:t>
      </w:r>
      <w:r>
        <w:rPr>
          <w:rStyle w:val="StringTok"/>
        </w:rPr>
        <w:t xml:space="preserve">'replace'</w:t>
      </w:r>
      <w:r>
        <w:rPr>
          <w:rStyle w:val="NormalTok"/>
        </w:rPr>
        <w:t xml:space="preserve">, index</w:t>
      </w:r>
      <w:r>
        <w:rPr>
          <w:rStyle w:val="OperatorTok"/>
        </w:rPr>
        <w:t xml:space="preserve">=</w:t>
      </w:r>
      <w:r>
        <w:rPr>
          <w:rStyle w:val="VariableTok"/>
        </w:rPr>
        <w:t xml:space="preserve">False</w:t>
      </w:r>
      <w:r>
        <w:rPr>
          <w:rStyle w:val="NormalTok"/>
        </w:rPr>
        <w:t xml:space="preserve">, method</w:t>
      </w:r>
      <w:r>
        <w:rPr>
          <w:rStyle w:val="OperatorTok"/>
        </w:rPr>
        <w:t xml:space="preserve">=</w:t>
      </w:r>
      <w:r>
        <w:rPr>
          <w:rStyle w:val="StringTok"/>
        </w:rPr>
        <w:t xml:space="preserve">'multi'</w:t>
      </w:r>
      <w:r>
        <w:rPr>
          <w:rStyle w:val="NormalTok"/>
        </w:rPr>
        <w:t xml:space="preserve">, chunksize</w:t>
      </w:r>
      <w:r>
        <w:rPr>
          <w:rStyle w:val="OperatorTok"/>
        </w:rPr>
        <w:t xml:space="preserve">=</w:t>
      </w:r>
      <w:r>
        <w:rPr>
          <w:rStyle w:val="DecValTok"/>
        </w:rPr>
        <w:t xml:space="preserve">1000</w:t>
      </w:r>
      <w:r>
        <w:rPr>
          <w:rStyle w:val="NormalTok"/>
        </w:rPr>
        <w:t xml:space="preserve">, encoding</w:t>
      </w:r>
      <w:r>
        <w:rPr>
          <w:rStyle w:val="OperatorTok"/>
        </w:rPr>
        <w:t xml:space="preserve">=</w:t>
      </w:r>
      <w:r>
        <w:rPr>
          <w:rStyle w:val="StringTok"/>
        </w:rPr>
        <w:t xml:space="preserve">'utf-8'</w:t>
      </w:r>
      <w:r>
        <w:rPr>
          <w:rStyle w:val="NormalTok"/>
        </w:rPr>
        <w:t xml:space="preserve">)</w:t>
      </w:r>
      <w:r>
        <w:br/>
      </w:r>
      <w:r>
        <w:br/>
      </w:r>
      <w:r>
        <w:rPr>
          <w:rStyle w:val="CommentTok"/>
        </w:rPr>
        <w:t xml:space="preserve"># read from PostgreSQL</w:t>
      </w:r>
      <w:r>
        <w:br/>
      </w:r>
      <w:r>
        <w:rPr>
          <w:rStyle w:val="NormalTok"/>
        </w:rPr>
        <w:t xml:space="preserve">df </w:t>
      </w:r>
      <w:r>
        <w:rPr>
          <w:rStyle w:val="OperatorTok"/>
        </w:rPr>
        <w:t xml:space="preserve">=</w:t>
      </w:r>
      <w:r>
        <w:rPr>
          <w:rStyle w:val="NormalTok"/>
        </w:rPr>
        <w:t xml:space="preserve"> pd.read_sql(</w:t>
      </w:r>
      <w:r>
        <w:rPr>
          <w:rStyle w:val="StringTok"/>
        </w:rPr>
        <w:t xml:space="preserve">'SELECT * FROM table_name'</w:t>
      </w:r>
      <w:r>
        <w:rPr>
          <w:rStyle w:val="NormalTok"/>
        </w:rPr>
        <w:t xml:space="preserve">, engine, encoding</w:t>
      </w:r>
      <w:r>
        <w:rPr>
          <w:rStyle w:val="OperatorTok"/>
        </w:rPr>
        <w:t xml:space="preserve">=</w:t>
      </w:r>
      <w:r>
        <w:rPr>
          <w:rStyle w:val="StringTok"/>
        </w:rPr>
        <w:t xml:space="preserve">'utf-8'</w:t>
      </w:r>
      <w:r>
        <w:rPr>
          <w:rStyle w:val="NormalTok"/>
        </w:rPr>
        <w:t xml:space="preserve">)</w:t>
      </w:r>
      <w:r>
        <w:br/>
      </w:r>
      <w:r>
        <w:br/>
      </w:r>
      <w:r>
        <w:rPr>
          <w:rStyle w:val="CommentTok"/>
        </w:rPr>
        <w:t xml:space="preserve"># write to a csv file with UTF-8 encoding</w:t>
      </w:r>
      <w:r>
        <w:br/>
      </w:r>
      <w:r>
        <w:rPr>
          <w:rStyle w:val="NormalTok"/>
        </w:rPr>
        <w:t xml:space="preserve">df.to_csv(</w:t>
      </w:r>
      <w:r>
        <w:rPr>
          <w:rStyle w:val="StringTok"/>
        </w:rPr>
        <w:t xml:space="preserve">'file.csv'</w:t>
      </w:r>
      <w:r>
        <w:rPr>
          <w:rStyle w:val="NormalTok"/>
        </w:rPr>
        <w:t xml:space="preserve">, index</w:t>
      </w:r>
      <w:r>
        <w:rPr>
          <w:rStyle w:val="OperatorTok"/>
        </w:rPr>
        <w:t xml:space="preserve">=</w:t>
      </w:r>
      <w:r>
        <w:rPr>
          <w:rStyle w:val="VariableTok"/>
        </w:rPr>
        <w:t xml:space="preserve">False</w:t>
      </w:r>
      <w:r>
        <w:rPr>
          <w:rStyle w:val="NormalTok"/>
        </w:rPr>
        <w:t xml:space="preserve">, encoding</w:t>
      </w:r>
      <w:r>
        <w:rPr>
          <w:rStyle w:val="OperatorTok"/>
        </w:rPr>
        <w:t xml:space="preserve">=</w:t>
      </w:r>
      <w:r>
        <w:rPr>
          <w:rStyle w:val="StringTok"/>
        </w:rPr>
        <w:t xml:space="preserve">'utf-8'</w:t>
      </w:r>
      <w:r>
        <w:rPr>
          <w:rStyle w:val="NormalTok"/>
        </w:rPr>
        <w:t xml:space="preserve">)</w:t>
      </w:r>
    </w:p>
    <w:p>
      <w:pPr>
        <w:numPr>
          <w:ilvl w:val="0"/>
          <w:numId w:val="1017"/>
        </w:numPr>
      </w:pPr>
      <w:r>
        <w:t xml:space="preserve">In</w:t>
      </w:r>
      <w:r>
        <w:t xml:space="preserve"> </w:t>
      </w:r>
      <w:r>
        <w:rPr>
          <w:b/>
          <w:bCs/>
        </w:rPr>
        <w:t xml:space="preserve">R</w:t>
      </w:r>
      <w:r>
        <w:t xml:space="preserve">, use</w:t>
      </w:r>
      <w:r>
        <w:t xml:space="preserve"> </w:t>
      </w:r>
      <w:hyperlink r:id="rId98">
        <w:r>
          <w:rPr>
            <w:rStyle w:val="VerbatimChar"/>
            <w:b/>
            <w:bCs/>
          </w:rPr>
          <w:t xml:space="preserve">readr</w:t>
        </w:r>
      </w:hyperlink>
      <w:r>
        <w:t xml:space="preserve"> </w:t>
      </w:r>
      <w:r>
        <w:t xml:space="preserve">to read (</w:t>
      </w:r>
      <w:hyperlink r:id="rId99">
        <w:r>
          <w:rPr>
            <w:rStyle w:val="VerbatimChar"/>
          </w:rPr>
          <w:t xml:space="preserve">read_csv()</w:t>
        </w:r>
      </w:hyperlink>
      <w:r>
        <w:t xml:space="preserve">) and write (</w:t>
      </w:r>
      <w:hyperlink r:id="rId100">
        <w:r>
          <w:rPr>
            <w:rStyle w:val="VerbatimChar"/>
          </w:rPr>
          <w:t xml:space="preserve">write_excel_csv()</w:t>
        </w:r>
      </w:hyperlink>
      <w:r>
        <w:t xml:space="preserve">) to force UTF-8 encoding.</w:t>
      </w:r>
    </w:p>
    <w:p>
      <w:pPr>
        <w:pStyle w:val="SourceCode"/>
        <w:numPr>
          <w:ilvl w:val="0"/>
          <w:numId w:val="1000"/>
        </w:numPr>
      </w:pPr>
      <w:r>
        <w:rPr>
          <w:rStyle w:val="FunctionTok"/>
        </w:rPr>
        <w:t xml:space="preserve">library</w:t>
      </w:r>
      <w:r>
        <w:rPr>
          <w:rStyle w:val="NormalTok"/>
        </w:rPr>
        <w:t xml:space="preserve">(readr)</w:t>
      </w:r>
      <w:r>
        <w:br/>
      </w:r>
      <w:r>
        <w:rPr>
          <w:rStyle w:val="FunctionTok"/>
        </w:rPr>
        <w:t xml:space="preserve">library</w:t>
      </w:r>
      <w:r>
        <w:rPr>
          <w:rStyle w:val="NormalTok"/>
        </w:rPr>
        <w:t xml:space="preserve">(DBI)</w:t>
      </w:r>
      <w:r>
        <w:br/>
      </w:r>
      <w:r>
        <w:rPr>
          <w:rStyle w:val="FunctionTok"/>
        </w:rPr>
        <w:t xml:space="preserve">library</w:t>
      </w:r>
      <w:r>
        <w:rPr>
          <w:rStyle w:val="NormalTok"/>
        </w:rPr>
        <w:t xml:space="preserve">(RPostgres)</w:t>
      </w:r>
      <w:r>
        <w:br/>
      </w:r>
      <w:r>
        <w:br/>
      </w:r>
      <w:r>
        <w:rPr>
          <w:rStyle w:val="CommentTok"/>
        </w:rPr>
        <w:t xml:space="preserve"># connect to PostgreSQL</w:t>
      </w:r>
      <w:r>
        <w:br/>
      </w:r>
      <w:r>
        <w:rPr>
          <w:rStyle w:val="NormalTok"/>
        </w:rPr>
        <w:t xml:space="preserve">con </w:t>
      </w:r>
      <w:r>
        <w:rPr>
          <w:rStyle w:val="OtherTok"/>
        </w:rPr>
        <w:t xml:space="preserve">&lt;-</w:t>
      </w:r>
      <w:r>
        <w:rPr>
          <w:rStyle w:val="NormalTok"/>
        </w:rPr>
        <w:t xml:space="preserve"> </w:t>
      </w:r>
      <w:r>
        <w:rPr>
          <w:rStyle w:val="FunctionTok"/>
        </w:rPr>
        <w:t xml:space="preserve">dbConnect</w:t>
      </w:r>
      <w:r>
        <w:rPr>
          <w:rStyle w:val="NormalTok"/>
        </w:rPr>
        <w:t xml:space="preserve">(RPostgres</w:t>
      </w:r>
      <w:r>
        <w:rPr>
          <w:rStyle w:val="SpecialCharTok"/>
        </w:rPr>
        <w:t xml:space="preserve">::</w:t>
      </w:r>
      <w:r>
        <w:rPr>
          <w:rStyle w:val="FunctionTok"/>
        </w:rPr>
        <w:t xml:space="preserve">Postgres</w:t>
      </w:r>
      <w:r>
        <w:rPr>
          <w:rStyle w:val="NormalTok"/>
        </w:rPr>
        <w:t xml:space="preserve">(), </w:t>
      </w:r>
      <w:r>
        <w:rPr>
          <w:rStyle w:val="AttributeTok"/>
        </w:rPr>
        <w:t xml:space="preserve">dbname =</w:t>
      </w:r>
      <w:r>
        <w:rPr>
          <w:rStyle w:val="NormalTok"/>
        </w:rPr>
        <w:t xml:space="preserve"> </w:t>
      </w:r>
      <w:r>
        <w:rPr>
          <w:rStyle w:val="StringTok"/>
        </w:rPr>
        <w:t xml:space="preserve">"dbname"</w:t>
      </w:r>
      <w:r>
        <w:rPr>
          <w:rStyle w:val="NormalTok"/>
        </w:rPr>
        <w:t xml:space="preserve">, </w:t>
      </w:r>
      <w:r>
        <w:rPr>
          <w:rStyle w:val="AttributeTok"/>
        </w:rPr>
        <w:t xml:space="preserve">host =</w:t>
      </w:r>
      <w:r>
        <w:rPr>
          <w:rStyle w:val="NormalTok"/>
        </w:rPr>
        <w:t xml:space="preserve"> </w:t>
      </w:r>
      <w:r>
        <w:rPr>
          <w:rStyle w:val="StringTok"/>
        </w:rPr>
        <w:t xml:space="preserve">"localhost"</w:t>
      </w:r>
      <w:r>
        <w:rPr>
          <w:rStyle w:val="NormalTok"/>
        </w:rPr>
        <w:t xml:space="preserve">, </w:t>
      </w:r>
      <w:r>
        <w:rPr>
          <w:rStyle w:val="AttributeTok"/>
        </w:rPr>
        <w:t xml:space="preserve">port =</w:t>
      </w:r>
      <w:r>
        <w:rPr>
          <w:rStyle w:val="NormalTok"/>
        </w:rPr>
        <w:t xml:space="preserve"> </w:t>
      </w:r>
      <w:r>
        <w:rPr>
          <w:rStyle w:val="DecValTok"/>
        </w:rPr>
        <w:t xml:space="preserve">5432</w:t>
      </w:r>
      <w:r>
        <w:rPr>
          <w:rStyle w:val="NormalTok"/>
        </w:rPr>
        <w:t xml:space="preserve">, </w:t>
      </w:r>
      <w:r>
        <w:rPr>
          <w:rStyle w:val="AttributeTok"/>
        </w:rPr>
        <w:t xml:space="preserve">user =</w:t>
      </w:r>
      <w:r>
        <w:rPr>
          <w:rStyle w:val="NormalTok"/>
        </w:rPr>
        <w:t xml:space="preserve"> </w:t>
      </w:r>
      <w:r>
        <w:rPr>
          <w:rStyle w:val="StringTok"/>
        </w:rPr>
        <w:t xml:space="preserve">"user"</w:t>
      </w:r>
      <w:r>
        <w:rPr>
          <w:rStyle w:val="NormalTok"/>
        </w:rPr>
        <w:t xml:space="preserve">, </w:t>
      </w:r>
      <w:r>
        <w:rPr>
          <w:rStyle w:val="AttributeTok"/>
        </w:rPr>
        <w:t xml:space="preserve">password =</w:t>
      </w:r>
      <w:r>
        <w:rPr>
          <w:rStyle w:val="NormalTok"/>
        </w:rPr>
        <w:t xml:space="preserve"> </w:t>
      </w:r>
      <w:r>
        <w:rPr>
          <w:rStyle w:val="StringTok"/>
        </w:rPr>
        <w:t xml:space="preserve">"password"</w:t>
      </w:r>
      <w:r>
        <w:rPr>
          <w:rStyle w:val="NormalTok"/>
        </w:rPr>
        <w:t xml:space="preserve">)</w:t>
      </w:r>
      <w:r>
        <w:br/>
      </w:r>
      <w:r>
        <w:br/>
      </w:r>
      <w:r>
        <w:rPr>
          <w:rStyle w:val="CommentTok"/>
        </w:rPr>
        <w:t xml:space="preserve"># read from a csv file</w:t>
      </w:r>
      <w:r>
        <w:br/>
      </w:r>
      <w:r>
        <w:rPr>
          <w:rStyle w:val="NormalTok"/>
        </w:rPr>
        <w:t xml:space="preserve">df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'file.csv'</w:t>
      </w:r>
      <w:r>
        <w:rPr>
          <w:rStyle w:val="NormalTok"/>
        </w:rPr>
        <w:t xml:space="preserve">, </w:t>
      </w:r>
      <w:r>
        <w:rPr>
          <w:rStyle w:val="AttributeTok"/>
        </w:rPr>
        <w:t xml:space="preserve">locale =</w:t>
      </w:r>
      <w:r>
        <w:rPr>
          <w:rStyle w:val="NormalTok"/>
        </w:rPr>
        <w:t xml:space="preserve"> </w:t>
      </w:r>
      <w:r>
        <w:rPr>
          <w:rStyle w:val="FunctionTok"/>
        </w:rPr>
        <w:t xml:space="preserve">locale</w:t>
      </w:r>
      <w:r>
        <w:rPr>
          <w:rStyle w:val="NormalTok"/>
        </w:rPr>
        <w:t xml:space="preserve">(</w:t>
      </w:r>
      <w:r>
        <w:rPr>
          <w:rStyle w:val="AttributeTok"/>
        </w:rPr>
        <w:t xml:space="preserve">encoding =</w:t>
      </w:r>
      <w:r>
        <w:rPr>
          <w:rStyle w:val="NormalTok"/>
        </w:rPr>
        <w:t xml:space="preserve"> </w:t>
      </w:r>
      <w:r>
        <w:rPr>
          <w:rStyle w:val="StringTok"/>
        </w:rPr>
        <w:t xml:space="preserve">'UTF-8'</w:t>
      </w:r>
      <w:r>
        <w:rPr>
          <w:rStyle w:val="NormalTok"/>
        </w:rPr>
        <w:t xml:space="preserve">))  </w:t>
      </w:r>
      <w:r>
        <w:rPr>
          <w:rStyle w:val="CommentTok"/>
        </w:rPr>
        <w:t xml:space="preserve"># explicit</w:t>
      </w:r>
      <w:r>
        <w:br/>
      </w:r>
      <w:r>
        <w:rPr>
          <w:rStyle w:val="NormalTok"/>
        </w:rPr>
        <w:t xml:space="preserve">df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'file.csv'</w:t>
      </w:r>
      <w:r>
        <w:rPr>
          <w:rStyle w:val="NormalTok"/>
        </w:rPr>
        <w:t xml:space="preserve">)                                       </w:t>
      </w:r>
      <w:r>
        <w:rPr>
          <w:rStyle w:val="CommentTok"/>
        </w:rPr>
        <w:t xml:space="preserve"># implicit</w:t>
      </w:r>
      <w:r>
        <w:br/>
      </w:r>
      <w:r>
        <w:br/>
      </w:r>
      <w:r>
        <w:rPr>
          <w:rStyle w:val="CommentTok"/>
        </w:rPr>
        <w:t xml:space="preserve"># write to PostgreSQL</w:t>
      </w:r>
      <w:r>
        <w:br/>
      </w:r>
      <w:r>
        <w:rPr>
          <w:rStyle w:val="FunctionTok"/>
        </w:rPr>
        <w:t xml:space="preserve">dbWriteTable</w:t>
      </w:r>
      <w:r>
        <w:rPr>
          <w:rStyle w:val="NormalTok"/>
        </w:rPr>
        <w:t xml:space="preserve">(con, </w:t>
      </w:r>
      <w:r>
        <w:rPr>
          <w:rStyle w:val="StringTok"/>
        </w:rPr>
        <w:t xml:space="preserve">'table_name'</w:t>
      </w:r>
      <w:r>
        <w:rPr>
          <w:rStyle w:val="NormalTok"/>
        </w:rPr>
        <w:t xml:space="preserve">, df, </w:t>
      </w:r>
      <w:r>
        <w:rPr>
          <w:rStyle w:val="AttributeTok"/>
        </w:rPr>
        <w:t xml:space="preserve">overwrite =</w:t>
      </w:r>
      <w:r>
        <w:rPr>
          <w:rStyle w:val="NormalTok"/>
        </w:rPr>
        <w:t xml:space="preserve"> </w:t>
      </w:r>
      <w:r>
        <w:rPr>
          <w:rStyle w:val="ConstantTok"/>
        </w:rPr>
        <w:t xml:space="preserve">TRUE</w:t>
      </w:r>
      <w:r>
        <w:rPr>
          <w:rStyle w:val="NormalTok"/>
        </w:rPr>
        <w:t xml:space="preserve">)</w:t>
      </w:r>
      <w:r>
        <w:br/>
      </w:r>
      <w:r>
        <w:br/>
      </w:r>
      <w:r>
        <w:rPr>
          <w:rStyle w:val="CommentTok"/>
        </w:rPr>
        <w:t xml:space="preserve"># read from PostgreSQL</w:t>
      </w:r>
      <w:r>
        <w:br/>
      </w:r>
      <w:r>
        <w:rPr>
          <w:rStyle w:val="NormalTok"/>
        </w:rPr>
        <w:t xml:space="preserve">df </w:t>
      </w:r>
      <w:r>
        <w:rPr>
          <w:rStyle w:val="OtherTok"/>
        </w:rPr>
        <w:t xml:space="preserve">&lt;-</w:t>
      </w:r>
      <w:r>
        <w:rPr>
          <w:rStyle w:val="NormalTok"/>
        </w:rPr>
        <w:t xml:space="preserve"> </w:t>
      </w:r>
      <w:r>
        <w:rPr>
          <w:rStyle w:val="FunctionTok"/>
        </w:rPr>
        <w:t xml:space="preserve">dbReadTable</w:t>
      </w:r>
      <w:r>
        <w:rPr>
          <w:rStyle w:val="NormalTok"/>
        </w:rPr>
        <w:t xml:space="preserve">(con, </w:t>
      </w:r>
      <w:r>
        <w:rPr>
          <w:rStyle w:val="StringTok"/>
        </w:rPr>
        <w:t xml:space="preserve">'table_name'</w:t>
      </w:r>
      <w:r>
        <w:rPr>
          <w:rStyle w:val="NormalTok"/>
        </w:rPr>
        <w:t xml:space="preserve">)</w:t>
      </w:r>
      <w:r>
        <w:br/>
      </w:r>
      <w:r>
        <w:br/>
      </w:r>
      <w:r>
        <w:rPr>
          <w:rStyle w:val="CommentTok"/>
        </w:rPr>
        <w:t xml:space="preserve"># write to a csv file with UTF-8 encoding</w:t>
      </w:r>
      <w:r>
        <w:br/>
      </w:r>
      <w:r>
        <w:rPr>
          <w:rStyle w:val="FunctionTok"/>
        </w:rPr>
        <w:t xml:space="preserve">write_excel_csv</w:t>
      </w:r>
      <w:r>
        <w:rPr>
          <w:rStyle w:val="NormalTok"/>
        </w:rPr>
        <w:t xml:space="preserve">(df, </w:t>
      </w:r>
      <w:r>
        <w:rPr>
          <w:rStyle w:val="StringTok"/>
        </w:rPr>
        <w:t xml:space="preserve">'file.csv'</w:t>
      </w:r>
      <w:r>
        <w:rPr>
          <w:rStyle w:val="NormalTok"/>
        </w:rPr>
        <w:t xml:space="preserve">, </w:t>
      </w:r>
      <w:r>
        <w:rPr>
          <w:rStyle w:val="AttributeTok"/>
        </w:rPr>
        <w:t xml:space="preserve">locale =</w:t>
      </w:r>
      <w:r>
        <w:rPr>
          <w:rStyle w:val="NormalTok"/>
        </w:rPr>
        <w:t xml:space="preserve"> </w:t>
      </w:r>
      <w:r>
        <w:rPr>
          <w:rStyle w:val="FunctionTok"/>
        </w:rPr>
        <w:t xml:space="preserve">locale</w:t>
      </w:r>
      <w:r>
        <w:rPr>
          <w:rStyle w:val="NormalTok"/>
        </w:rPr>
        <w:t xml:space="preserve">(</w:t>
      </w:r>
      <w:r>
        <w:rPr>
          <w:rStyle w:val="AttributeTok"/>
        </w:rPr>
        <w:t xml:space="preserve">encoding =</w:t>
      </w:r>
      <w:r>
        <w:rPr>
          <w:rStyle w:val="NormalTok"/>
        </w:rPr>
        <w:t xml:space="preserve"> </w:t>
      </w:r>
      <w:r>
        <w:rPr>
          <w:rStyle w:val="StringTok"/>
        </w:rPr>
        <w:t xml:space="preserve">'UTF-8'</w:t>
      </w:r>
      <w:r>
        <w:rPr>
          <w:rStyle w:val="NormalTok"/>
        </w:rPr>
        <w:t xml:space="preserve">))  </w:t>
      </w:r>
      <w:r>
        <w:rPr>
          <w:rStyle w:val="CommentTok"/>
        </w:rPr>
        <w:t xml:space="preserve"># explicit</w:t>
      </w:r>
      <w:r>
        <w:br/>
      </w:r>
      <w:r>
        <w:rPr>
          <w:rStyle w:val="FunctionTok"/>
        </w:rPr>
        <w:t xml:space="preserve">write_excel_csv</w:t>
      </w:r>
      <w:r>
        <w:rPr>
          <w:rStyle w:val="NormalTok"/>
        </w:rPr>
        <w:t xml:space="preserve">(df, </w:t>
      </w:r>
      <w:r>
        <w:rPr>
          <w:rStyle w:val="StringTok"/>
        </w:rPr>
        <w:t xml:space="preserve">'file.csv'</w:t>
      </w:r>
      <w:r>
        <w:rPr>
          <w:rStyle w:val="NormalTok"/>
        </w:rPr>
        <w:t xml:space="preserve">)                                       </w:t>
      </w:r>
      <w:r>
        <w:rPr>
          <w:rStyle w:val="CommentTok"/>
        </w:rPr>
        <w:t xml:space="preserve"># implicit</w:t>
      </w:r>
    </w:p>
    <w:bookmarkEnd w:id="101"/>
    <w:bookmarkStart w:id="127" w:name="integrated-database-ingestion-strategy"/>
    <w:p>
      <w:pPr>
        <w:pStyle w:val="Heading2"/>
      </w:pPr>
      <w:r>
        <w:t xml:space="preserve">6.3 Integrated database ingestion strategy</w:t>
      </w:r>
    </w:p>
    <w:bookmarkStart w:id="102" w:name="overview-1"/>
    <w:p>
      <w:pPr>
        <w:pStyle w:val="Heading3"/>
      </w:pPr>
      <w:r>
        <w:t xml:space="preserve">6.3.1 Overview</w:t>
      </w:r>
    </w:p>
    <w:p>
      <w:pPr>
        <w:pStyle w:val="FirstParagraph"/>
      </w:pPr>
      <w:r>
        <w:t xml:space="preserve">The CalCOFI database uses a two-schema strategy for development and production:</w:t>
      </w:r>
    </w:p>
    <w:p>
      <w:pPr>
        <w:pStyle w:val="Compact"/>
        <w:numPr>
          <w:ilvl w:val="0"/>
          <w:numId w:val="1018"/>
        </w:numPr>
      </w:pPr>
      <w:r>
        <w:rPr>
          <w:rStyle w:val="VerbatimChar"/>
          <w:b/>
          <w:bCs/>
        </w:rPr>
        <w:t xml:space="preserve">dev</w:t>
      </w:r>
      <w:r>
        <w:rPr>
          <w:b/>
          <w:bCs/>
        </w:rPr>
        <w:t xml:space="preserve"> </w:t>
      </w:r>
      <w:r>
        <w:rPr>
          <w:b/>
          <w:bCs/>
        </w:rPr>
        <w:t xml:space="preserve">schema</w:t>
      </w:r>
      <w:r>
        <w:t xml:space="preserve">: Development schema where new datasets, tables, fields, and relationships are ingested and QA/QC’d. This schema is recreated fresh with each ingestion run using the master ingestion script.</w:t>
      </w:r>
    </w:p>
    <w:p>
      <w:pPr>
        <w:pStyle w:val="Compact"/>
        <w:numPr>
          <w:ilvl w:val="0"/>
          <w:numId w:val="1018"/>
        </w:numPr>
      </w:pPr>
      <w:r>
        <w:rPr>
          <w:rStyle w:val="VerbatimChar"/>
          <w:b/>
          <w:bCs/>
        </w:rPr>
        <w:t xml:space="preserve">prod</w:t>
      </w:r>
      <w:r>
        <w:rPr>
          <w:b/>
          <w:bCs/>
        </w:rPr>
        <w:t xml:space="preserve"> </w:t>
      </w:r>
      <w:r>
        <w:rPr>
          <w:b/>
          <w:bCs/>
        </w:rPr>
        <w:t xml:space="preserve">schema</w:t>
      </w:r>
      <w:r>
        <w:t xml:space="preserve">: Production schema for stable, versioned data used by public APIs, apps, and data portals (OBIS, EDI, ERDDAP). Once</w:t>
      </w:r>
      <w:r>
        <w:t xml:space="preserve"> </w:t>
      </w:r>
      <w:r>
        <w:rPr>
          <w:rStyle w:val="VerbatimChar"/>
        </w:rPr>
        <w:t xml:space="preserve">dev</w:t>
      </w:r>
      <w:r>
        <w:t xml:space="preserve"> </w:t>
      </w:r>
      <w:r>
        <w:t xml:space="preserve">is validated, it’s copied to</w:t>
      </w:r>
      <w:r>
        <w:t xml:space="preserve"> </w:t>
      </w:r>
      <w:r>
        <w:rPr>
          <w:rStyle w:val="VerbatimChar"/>
        </w:rPr>
        <w:t xml:space="preserve">prod</w:t>
      </w:r>
      <w:r>
        <w:t xml:space="preserve"> </w:t>
      </w:r>
      <w:r>
        <w:t xml:space="preserve">with a version number.</w:t>
      </w:r>
    </w:p>
    <w:bookmarkEnd w:id="102"/>
    <w:bookmarkStart w:id="108" w:name="master-ingestion-workflow"/>
    <w:p>
      <w:pPr>
        <w:pStyle w:val="Heading3"/>
      </w:pPr>
      <w:r>
        <w:t xml:space="preserve">6.3.2 Master ingestion workflow</w:t>
      </w:r>
    </w:p>
    <w:p>
      <w:pPr>
        <w:pStyle w:val="FirstParagraph"/>
      </w:pPr>
      <w:r>
        <w:t xml:space="preserve">All datasets are ingested using a single master Quarto script</w:t>
      </w:r>
      <w:r>
        <w:t xml:space="preserve"> </w:t>
      </w:r>
      <w:hyperlink r:id="rId103">
        <w:r>
          <w:rPr>
            <w:rStyle w:val="VerbatimChar"/>
          </w:rPr>
          <w:t xml:space="preserve">calcofi4db/inst/create_db.qmd</w:t>
        </w:r>
      </w:hyperlink>
      <w:r>
        <w:t xml:space="preserve"> </w:t>
      </w:r>
      <w:r>
        <w:t xml:space="preserve">that:</w:t>
      </w:r>
    </w:p>
    <w:p>
      <w:pPr>
        <w:pStyle w:val="Compact"/>
        <w:numPr>
          <w:ilvl w:val="0"/>
          <w:numId w:val="1019"/>
        </w:numPr>
      </w:pPr>
      <w:r>
        <w:rPr>
          <w:b/>
          <w:bCs/>
        </w:rPr>
        <w:t xml:space="preserve">Drops and recreates</w:t>
      </w:r>
      <w:r>
        <w:t xml:space="preserve"> </w:t>
      </w:r>
      <w:r>
        <w:t xml:space="preserve">the</w:t>
      </w:r>
      <w:r>
        <w:t xml:space="preserve"> </w:t>
      </w:r>
      <w:r>
        <w:rPr>
          <w:rStyle w:val="VerbatimChar"/>
        </w:rPr>
        <w:t xml:space="preserve">dev</w:t>
      </w:r>
      <w:r>
        <w:t xml:space="preserve"> </w:t>
      </w:r>
      <w:r>
        <w:t xml:space="preserve">schema (fresh start each run)</w:t>
      </w:r>
    </w:p>
    <w:p>
      <w:pPr>
        <w:pStyle w:val="Compact"/>
        <w:numPr>
          <w:ilvl w:val="0"/>
          <w:numId w:val="1019"/>
        </w:numPr>
      </w:pPr>
      <w:r>
        <w:rPr>
          <w:b/>
          <w:bCs/>
        </w:rPr>
        <w:t xml:space="preserve">Ingests multiple datasets</w:t>
      </w:r>
      <w:r>
        <w:t xml:space="preserve"> </w:t>
      </w:r>
      <w:r>
        <w:t xml:space="preserve">from Google Drive source files (CSV, potentially SHP/NC in future)</w:t>
      </w:r>
    </w:p>
    <w:p>
      <w:pPr>
        <w:pStyle w:val="Compact"/>
        <w:numPr>
          <w:ilvl w:val="0"/>
          <w:numId w:val="1019"/>
        </w:numPr>
      </w:pPr>
      <w:r>
        <w:rPr>
          <w:b/>
          <w:bCs/>
        </w:rPr>
        <w:t xml:space="preserve">Applies transformations</w:t>
      </w:r>
      <w:r>
        <w:t xml:space="preserve"> </w:t>
      </w:r>
      <w:r>
        <w:t xml:space="preserve">using redefinition files (</w:t>
      </w:r>
      <w:r>
        <w:rPr>
          <w:rStyle w:val="VerbatimChar"/>
        </w:rPr>
        <w:t xml:space="preserve">tbls_redefine.csv</w:t>
      </w:r>
      <w:r>
        <w:t xml:space="preserve">,</w:t>
      </w:r>
      <w:r>
        <w:t xml:space="preserve"> </w:t>
      </w:r>
      <w:r>
        <w:rPr>
          <w:rStyle w:val="VerbatimChar"/>
        </w:rPr>
        <w:t xml:space="preserve">flds_redefine.csv</w:t>
      </w:r>
      <w:r>
        <w:t xml:space="preserve">)</w:t>
      </w:r>
    </w:p>
    <w:p>
      <w:pPr>
        <w:pStyle w:val="Compact"/>
        <w:numPr>
          <w:ilvl w:val="0"/>
          <w:numId w:val="1019"/>
        </w:numPr>
      </w:pPr>
      <w:r>
        <w:rPr>
          <w:b/>
          <w:bCs/>
        </w:rPr>
        <w:t xml:space="preserve">Creates relationships</w:t>
      </w:r>
      <w:r>
        <w:t xml:space="preserve"> </w:t>
      </w:r>
      <w:r>
        <w:t xml:space="preserve">(primary keys, foreign keys, indexes)</w:t>
      </w:r>
    </w:p>
    <w:p>
      <w:pPr>
        <w:pStyle w:val="Compact"/>
        <w:numPr>
          <w:ilvl w:val="0"/>
          <w:numId w:val="1019"/>
        </w:numPr>
      </w:pPr>
      <w:r>
        <w:rPr>
          <w:b/>
          <w:bCs/>
        </w:rPr>
        <w:t xml:space="preserve">Records schema version</w:t>
      </w:r>
      <w:r>
        <w:t xml:space="preserve"> </w:t>
      </w:r>
      <w:r>
        <w:t xml:space="preserve">with metadata in</w:t>
      </w:r>
      <w:r>
        <w:t xml:space="preserve"> </w:t>
      </w:r>
      <w:r>
        <w:rPr>
          <w:rStyle w:val="VerbatimChar"/>
        </w:rPr>
        <w:t xml:space="preserve">schema_version</w:t>
      </w:r>
      <w:r>
        <w:t xml:space="preserve"> </w:t>
      </w:r>
      <w:r>
        <w:t xml:space="preserve">table</w:t>
      </w:r>
    </w:p>
    <w:p>
      <w:pPr>
        <w:pStyle w:val="FirstParagraph"/>
      </w:pPr>
      <w:r>
        <w:t xml:space="preserve">Each dataset section in the master script handles:</w:t>
      </w:r>
    </w:p>
    <w:p>
      <w:pPr>
        <w:pStyle w:val="Compact"/>
        <w:numPr>
          <w:ilvl w:val="0"/>
          <w:numId w:val="1020"/>
        </w:numPr>
      </w:pPr>
      <w:r>
        <w:t xml:space="preserve">Reading CSV files from Google Drive</w:t>
      </w:r>
    </w:p>
    <w:p>
      <w:pPr>
        <w:pStyle w:val="Compact"/>
        <w:numPr>
          <w:ilvl w:val="0"/>
          <w:numId w:val="1020"/>
        </w:numPr>
      </w:pPr>
      <w:r>
        <w:t xml:space="preserve">Transforming data according to redefinition rules</w:t>
      </w:r>
    </w:p>
    <w:p>
      <w:pPr>
        <w:pStyle w:val="Compact"/>
        <w:numPr>
          <w:ilvl w:val="0"/>
          <w:numId w:val="1020"/>
        </w:numPr>
      </w:pPr>
      <w:r>
        <w:t xml:space="preserve">Loading into database tables</w:t>
      </w:r>
    </w:p>
    <w:p>
      <w:pPr>
        <w:pStyle w:val="Compact"/>
        <w:numPr>
          <w:ilvl w:val="0"/>
          <w:numId w:val="1020"/>
        </w:numPr>
      </w:pPr>
      <w:r>
        <w:t xml:space="preserve">Adding table/field comments with metadata</w:t>
      </w:r>
    </w:p>
    <w:tbl>
      <w:tblPr>
        <w:tblStyle w:val="Table"/>
        <w:tblW w:type="pct" w:w="5000"/>
        <w:tblLayout w:type="fixed"/>
        <w:tblLook w:firstRow="0" w:lastRow="0" w:firstColumn="0" w:lastColumn="0" w:noHBand="0" w:noVBand="0" w:val="0000"/>
      </w:tblPr>
      <w:tblGrid>
        <w:gridCol w:w="7920"/>
      </w:tblGrid>
      <w:tr>
        <w:tc>
          <w:tcPr/>
          <w:bookmarkStart w:id="107" w:name="fig-db_doc"/>
          <w:p>
            <w:pPr>
              <w:jc w:val="center"/>
            </w:pPr>
            <w:r>
              <w:drawing>
                <wp:inline>
                  <wp:extent cx="5334000" cy="8900367"/>
                  <wp:effectExtent b="0" l="0" r="0" t="0"/>
                  <wp:docPr descr="" title="" id="105" name="Picture"/>
                  <a:graphic>
                    <a:graphicData uri="http://schemas.openxmlformats.org/drawingml/2006/picture">
                      <pic:pic>
                        <pic:nvPicPr>
                          <pic:cNvPr descr="db_files/figure-docx/mermaid-figure-1.png" id="106" name="Picture"/>
                          <pic:cNvPicPr>
                            <a:picLocks noChangeArrowheads="1" noChangeAspect="1"/>
                          </pic:cNvPicPr>
                        </pic:nvPicPr>
                        <pic:blipFill>
                          <a:blip r:embed="rId104"/>
                          <a:stretch>
                            <a:fillRect/>
                          </a:stretch>
                        </pic:blipFill>
                        <pic:spPr bwMode="auto">
                          <a:xfrm>
                            <a:off x="0" y="0"/>
                            <a:ext cx="5334000" cy="8900367"/>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Integrated database ingestion scheme.</w:t>
            </w:r>
          </w:p>
          <w:bookmarkEnd w:id="107"/>
        </w:tc>
      </w:tr>
    </w:tbl>
    <w:bookmarkEnd w:id="108"/>
    <w:bookmarkStart w:id="112" w:name="using-calcofi4db-package"/>
    <w:p>
      <w:pPr>
        <w:pStyle w:val="Heading3"/>
      </w:pPr>
      <w:r>
        <w:t xml:space="preserve">6.3.3 Using calcofi4db package</w:t>
      </w:r>
    </w:p>
    <w:p>
      <w:pPr>
        <w:pStyle w:val="FirstParagraph"/>
      </w:pPr>
      <w:r>
        <w:t xml:space="preserve">The</w:t>
      </w:r>
      <w:r>
        <w:t xml:space="preserve"> </w:t>
      </w:r>
      <w:hyperlink r:id="rId109">
        <w:r>
          <w:rPr>
            <w:rStyle w:val="Hyperlink"/>
          </w:rPr>
          <w:t xml:space="preserve">calcofi4db</w:t>
        </w:r>
      </w:hyperlink>
      <w:r>
        <w:t xml:space="preserve"> </w:t>
      </w:r>
      <w:r>
        <w:t xml:space="preserve">package provides streamlined functions for dataset ingestion.</w:t>
      </w:r>
    </w:p>
    <w:bookmarkStart w:id="110" w:name="ducklake-workflow-recommended"/>
    <w:p>
      <w:pPr>
        <w:pStyle w:val="Heading4"/>
      </w:pPr>
      <w:r>
        <w:t xml:space="preserve">6.3.3.1 DuckLake Workflow (Recommended)</w:t>
      </w:r>
    </w:p>
    <w:p>
      <w:pPr>
        <w:pStyle w:val="FirstParagraph"/>
      </w:pPr>
      <w:r>
        <w:t xml:space="preserve">The preferred approach uses DuckDB with provenance tracking:</w:t>
      </w:r>
    </w:p>
    <w:p>
      <w:pPr>
        <w:pStyle w:val="SourceCode"/>
      </w:pPr>
      <w:r>
        <w:rPr>
          <w:rStyle w:val="FunctionTok"/>
        </w:rPr>
        <w:t xml:space="preserve">library</w:t>
      </w:r>
      <w:r>
        <w:rPr>
          <w:rStyle w:val="NormalTok"/>
        </w:rPr>
        <w:t xml:space="preserve">(calcofi4db)</w:t>
      </w:r>
      <w:r>
        <w:br/>
      </w:r>
      <w:r>
        <w:br/>
      </w:r>
      <w:r>
        <w:rPr>
          <w:rStyle w:val="CommentTok"/>
        </w:rPr>
        <w:t xml:space="preserve"># connect to working DuckLake (downloads from GCS if needed)</w:t>
      </w:r>
      <w:r>
        <w:br/>
      </w:r>
      <w:r>
        <w:rPr>
          <w:rStyle w:val="NormalTok"/>
        </w:rPr>
        <w:t xml:space="preserve">con </w:t>
      </w:r>
      <w:r>
        <w:rPr>
          <w:rStyle w:val="OtherTok"/>
        </w:rPr>
        <w:t xml:space="preserve">&lt;-</w:t>
      </w:r>
      <w:r>
        <w:rPr>
          <w:rStyle w:val="NormalTok"/>
        </w:rPr>
        <w:t xml:space="preserve"> </w:t>
      </w:r>
      <w:r>
        <w:rPr>
          <w:rStyle w:val="FunctionTok"/>
        </w:rPr>
        <w:t xml:space="preserve">get_working_ducklake</w:t>
      </w:r>
      <w:r>
        <w:rPr>
          <w:rStyle w:val="NormalTok"/>
        </w:rPr>
        <w:t xml:space="preserve">()</w:t>
      </w:r>
      <w:r>
        <w:br/>
      </w:r>
      <w:r>
        <w:br/>
      </w:r>
      <w:r>
        <w:rPr>
          <w:rStyle w:val="CommentTok"/>
        </w:rPr>
        <w:t xml:space="preserve"># read CSV files from local directory or GCS archive</w:t>
      </w:r>
      <w:r>
        <w:br/>
      </w:r>
      <w:r>
        <w:rPr>
          <w:rStyle w:val="CommentTok"/>
        </w:rPr>
        <w:t xml:space="preserve"># - syncs to GCS archive for immutable provenance tracking</w:t>
      </w:r>
      <w:r>
        <w:br/>
      </w:r>
      <w:r>
        <w:rPr>
          <w:rStyle w:val="CommentTok"/>
        </w:rPr>
        <w:t xml:space="preserve"># - loads redefinition metadata for column renaming/typing</w:t>
      </w:r>
      <w:r>
        <w:br/>
      </w:r>
      <w:r>
        <w:rPr>
          <w:rStyle w:val="NormalTok"/>
        </w:rPr>
        <w:t xml:space="preserve">d </w:t>
      </w:r>
      <w:r>
        <w:rPr>
          <w:rStyle w:val="OtherTok"/>
        </w:rPr>
        <w:t xml:space="preserve">&lt;-</w:t>
      </w:r>
      <w:r>
        <w:rPr>
          <w:rStyle w:val="NormalTok"/>
        </w:rPr>
        <w:t xml:space="preserve"> </w:t>
      </w:r>
      <w:r>
        <w:rPr>
          <w:rStyle w:val="FunctionTok"/>
        </w:rPr>
        <w:t xml:space="preserve">read_csv_files</w:t>
      </w:r>
      <w:r>
        <w:rPr>
          <w:rStyle w:val="NormalTok"/>
        </w:rPr>
        <w:t xml:space="preserve">(</w:t>
      </w:r>
      <w:r>
        <w:br/>
      </w:r>
      <w:r>
        <w:rPr>
          <w:rStyle w:val="NormalTok"/>
        </w:rPr>
        <w:t xml:space="preserve">  </w:t>
      </w:r>
      <w:r>
        <w:rPr>
          <w:rStyle w:val="AttributeTok"/>
        </w:rPr>
        <w:t xml:space="preserve">provider     =</w:t>
      </w:r>
      <w:r>
        <w:rPr>
          <w:rStyle w:val="NormalTok"/>
        </w:rPr>
        <w:t xml:space="preserve"> </w:t>
      </w:r>
      <w:r>
        <w:rPr>
          <w:rStyle w:val="StringTok"/>
        </w:rPr>
        <w:t xml:space="preserve">"swfsc"</w:t>
      </w:r>
      <w:r>
        <w:rPr>
          <w:rStyle w:val="NormalTok"/>
        </w:rPr>
        <w:t xml:space="preserve">,</w:t>
      </w:r>
      <w:r>
        <w:br/>
      </w:r>
      <w:r>
        <w:rPr>
          <w:rStyle w:val="NormalTok"/>
        </w:rPr>
        <w:t xml:space="preserve">  </w:t>
      </w:r>
      <w:r>
        <w:rPr>
          <w:rStyle w:val="AttributeTok"/>
        </w:rPr>
        <w:t xml:space="preserve">dataset      =</w:t>
      </w:r>
      <w:r>
        <w:rPr>
          <w:rStyle w:val="NormalTok"/>
        </w:rPr>
        <w:t xml:space="preserve"> </w:t>
      </w:r>
      <w:r>
        <w:rPr>
          <w:rStyle w:val="StringTok"/>
        </w:rPr>
        <w:t xml:space="preserve">"ichthyo"</w:t>
      </w:r>
      <w:r>
        <w:rPr>
          <w:rStyle w:val="NormalTok"/>
        </w:rPr>
        <w:t xml:space="preserve">,</w:t>
      </w:r>
      <w:r>
        <w:br/>
      </w:r>
      <w:r>
        <w:rPr>
          <w:rStyle w:val="NormalTok"/>
        </w:rPr>
        <w:t xml:space="preserve">  </w:t>
      </w:r>
      <w:r>
        <w:rPr>
          <w:rStyle w:val="AttributeTok"/>
        </w:rPr>
        <w:t xml:space="preserve">dir_data     =</w:t>
      </w:r>
      <w:r>
        <w:rPr>
          <w:rStyle w:val="NormalTok"/>
        </w:rPr>
        <w:t xml:space="preserve"> </w:t>
      </w:r>
      <w:r>
        <w:rPr>
          <w:rStyle w:val="StringTok"/>
        </w:rPr>
        <w:t xml:space="preserve">"~/My Drive/projects/calcofi/data-public"</w:t>
      </w:r>
      <w:r>
        <w:rPr>
          <w:rStyle w:val="NormalTok"/>
        </w:rPr>
        <w:t xml:space="preserve">,</w:t>
      </w:r>
      <w:r>
        <w:br/>
      </w:r>
      <w:r>
        <w:rPr>
          <w:rStyle w:val="NormalTok"/>
        </w:rPr>
        <w:t xml:space="preserve">  </w:t>
      </w:r>
      <w:r>
        <w:rPr>
          <w:rStyle w:val="AttributeTok"/>
        </w:rPr>
        <w:t xml:space="preserve">metadata_dir =</w:t>
      </w:r>
      <w:r>
        <w:rPr>
          <w:rStyle w:val="NormalTok"/>
        </w:rPr>
        <w:t xml:space="preserve"> </w:t>
      </w:r>
      <w:r>
        <w:rPr>
          <w:rStyle w:val="StringTok"/>
        </w:rPr>
        <w:t xml:space="preserve">"metadata"</w:t>
      </w:r>
      <w:r>
        <w:rPr>
          <w:rStyle w:val="NormalTok"/>
        </w:rPr>
        <w:t xml:space="preserve">,</w:t>
      </w:r>
      <w:r>
        <w:br/>
      </w:r>
      <w:r>
        <w:rPr>
          <w:rStyle w:val="NormalTok"/>
        </w:rPr>
        <w:t xml:space="preserve">  </w:t>
      </w:r>
      <w:r>
        <w:rPr>
          <w:rStyle w:val="AttributeTok"/>
        </w:rPr>
        <w:t xml:space="preserve">sync_archive =</w:t>
      </w:r>
      <w:r>
        <w:rPr>
          <w:rStyle w:val="NormalTok"/>
        </w:rPr>
        <w:t xml:space="preserve"> </w:t>
      </w:r>
      <w:r>
        <w:rPr>
          <w:rStyle w:val="ConstantTok"/>
        </w:rPr>
        <w:t xml:space="preserve">TRUE</w:t>
      </w:r>
      <w:r>
        <w:rPr>
          <w:rStyle w:val="NormalTok"/>
        </w:rPr>
        <w:t xml:space="preserve">)</w:t>
      </w:r>
      <w:r>
        <w:br/>
      </w:r>
      <w:r>
        <w:br/>
      </w:r>
      <w:r>
        <w:rPr>
          <w:rStyle w:val="CommentTok"/>
        </w:rPr>
        <w:t xml:space="preserve"># ingest dataset with automatic provenance tracking</w:t>
      </w:r>
      <w:r>
        <w:br/>
      </w:r>
      <w:r>
        <w:rPr>
          <w:rStyle w:val="CommentTok"/>
        </w:rPr>
        <w:t xml:space="preserve"># - transforms data using redefinition files</w:t>
      </w:r>
      <w:r>
        <w:br/>
      </w:r>
      <w:r>
        <w:rPr>
          <w:rStyle w:val="CommentTok"/>
        </w:rPr>
        <w:t xml:space="preserve"># - adds _source_file, _source_row, _source_uuid, _ingested_at columns</w:t>
      </w:r>
      <w:r>
        <w:br/>
      </w:r>
      <w:r>
        <w:rPr>
          <w:rStyle w:val="CommentTok"/>
        </w:rPr>
        <w:t xml:space="preserve"># - handles uuid column detection automatically</w:t>
      </w:r>
      <w:r>
        <w:br/>
      </w:r>
      <w:r>
        <w:rPr>
          <w:rStyle w:val="NormalTok"/>
        </w:rPr>
        <w:t xml:space="preserve">tbl_stats </w:t>
      </w:r>
      <w:r>
        <w:rPr>
          <w:rStyle w:val="OtherTok"/>
        </w:rPr>
        <w:t xml:space="preserve">&lt;-</w:t>
      </w:r>
      <w:r>
        <w:rPr>
          <w:rStyle w:val="NormalTok"/>
        </w:rPr>
        <w:t xml:space="preserve"> </w:t>
      </w:r>
      <w:r>
        <w:rPr>
          <w:rStyle w:val="FunctionTok"/>
        </w:rPr>
        <w:t xml:space="preserve">ingest_dataset</w:t>
      </w:r>
      <w:r>
        <w:rPr>
          <w:rStyle w:val="NormalTok"/>
        </w:rPr>
        <w:t xml:space="preserve">(</w:t>
      </w:r>
      <w:r>
        <w:br/>
      </w:r>
      <w:r>
        <w:rPr>
          <w:rStyle w:val="NormalTok"/>
        </w:rPr>
        <w:t xml:space="preserve">  </w:t>
      </w:r>
      <w:r>
        <w:rPr>
          <w:rStyle w:val="AttributeTok"/>
        </w:rPr>
        <w:t xml:space="preserve">con  =</w:t>
      </w:r>
      <w:r>
        <w:rPr>
          <w:rStyle w:val="NormalTok"/>
        </w:rPr>
        <w:t xml:space="preserve"> con,</w:t>
      </w:r>
      <w:r>
        <w:br/>
      </w:r>
      <w:r>
        <w:rPr>
          <w:rStyle w:val="NormalTok"/>
        </w:rPr>
        <w:t xml:space="preserve">  </w:t>
      </w:r>
      <w:r>
        <w:rPr>
          <w:rStyle w:val="AttributeTok"/>
        </w:rPr>
        <w:t xml:space="preserve">d    =</w:t>
      </w:r>
      <w:r>
        <w:rPr>
          <w:rStyle w:val="NormalTok"/>
        </w:rPr>
        <w:t xml:space="preserve"> d,</w:t>
      </w:r>
      <w:r>
        <w:br/>
      </w:r>
      <w:r>
        <w:rPr>
          <w:rStyle w:val="NormalTok"/>
        </w:rPr>
        <w:t xml:space="preserve">  </w:t>
      </w:r>
      <w:r>
        <w:rPr>
          <w:rStyle w:val="AttributeTok"/>
        </w:rPr>
        <w:t xml:space="preserve">mode =</w:t>
      </w:r>
      <w:r>
        <w:rPr>
          <w:rStyle w:val="NormalTok"/>
        </w:rPr>
        <w:t xml:space="preserve"> </w:t>
      </w:r>
      <w:r>
        <w:rPr>
          <w:rStyle w:val="StringTok"/>
        </w:rPr>
        <w:t xml:space="preserve">"replace"</w:t>
      </w:r>
      <w:r>
        <w:rPr>
          <w:rStyle w:val="NormalTok"/>
        </w:rPr>
        <w:t xml:space="preserve">)</w:t>
      </w:r>
      <w:r>
        <w:br/>
      </w:r>
      <w:r>
        <w:br/>
      </w:r>
      <w:r>
        <w:rPr>
          <w:rStyle w:val="CommentTok"/>
        </w:rPr>
        <w:t xml:space="preserve"># save to GCS and close</w:t>
      </w:r>
      <w:r>
        <w:br/>
      </w:r>
      <w:r>
        <w:rPr>
          <w:rStyle w:val="FunctionTok"/>
        </w:rPr>
        <w:t xml:space="preserve">save_working_ducklake</w:t>
      </w:r>
      <w:r>
        <w:rPr>
          <w:rStyle w:val="NormalTok"/>
        </w:rPr>
        <w:t xml:space="preserve">(con)</w:t>
      </w:r>
      <w:r>
        <w:br/>
      </w:r>
      <w:r>
        <w:rPr>
          <w:rStyle w:val="FunctionTok"/>
        </w:rPr>
        <w:t xml:space="preserve">close_duckdb</w:t>
      </w:r>
      <w:r>
        <w:rPr>
          <w:rStyle w:val="NormalTok"/>
        </w:rPr>
        <w:t xml:space="preserve">(con)</w:t>
      </w:r>
    </w:p>
    <w:p>
      <w:pPr>
        <w:pStyle w:val="FirstParagraph"/>
      </w:pPr>
      <w:r>
        <w:t xml:space="preserve">The</w:t>
      </w:r>
      <w:r>
        <w:t xml:space="preserve"> </w:t>
      </w:r>
      <w:r>
        <w:rPr>
          <w:rStyle w:val="VerbatimChar"/>
        </w:rPr>
        <w:t xml:space="preserve">ingest_dataset()</w:t>
      </w:r>
      <w:r>
        <w:t xml:space="preserve"> </w:t>
      </w:r>
      <w:r>
        <w:t xml:space="preserve">function handles:</w:t>
      </w:r>
    </w:p>
    <w:p>
      <w:pPr>
        <w:pStyle w:val="Compact"/>
        <w:numPr>
          <w:ilvl w:val="0"/>
          <w:numId w:val="1021"/>
        </w:numPr>
      </w:pPr>
      <w:r>
        <w:t xml:space="preserve">Calling</w:t>
      </w:r>
      <w:r>
        <w:t xml:space="preserve"> </w:t>
      </w:r>
      <w:r>
        <w:rPr>
          <w:rStyle w:val="VerbatimChar"/>
        </w:rPr>
        <w:t xml:space="preserve">transform_data()</w:t>
      </w:r>
      <w:r>
        <w:t xml:space="preserve"> </w:t>
      </w:r>
      <w:r>
        <w:t xml:space="preserve">to apply table/field redefinitions</w:t>
      </w:r>
    </w:p>
    <w:p>
      <w:pPr>
        <w:pStyle w:val="Compact"/>
        <w:numPr>
          <w:ilvl w:val="0"/>
          <w:numId w:val="1021"/>
        </w:numPr>
      </w:pPr>
      <w:r>
        <w:t xml:space="preserve">Detecting UUID columns automatically for provenance tracking</w:t>
      </w:r>
    </w:p>
    <w:p>
      <w:pPr>
        <w:pStyle w:val="Compact"/>
        <w:numPr>
          <w:ilvl w:val="0"/>
          <w:numId w:val="1021"/>
        </w:numPr>
      </w:pPr>
      <w:r>
        <w:t xml:space="preserve">Calling</w:t>
      </w:r>
      <w:r>
        <w:t xml:space="preserve"> </w:t>
      </w:r>
      <w:r>
        <w:rPr>
          <w:rStyle w:val="VerbatimChar"/>
        </w:rPr>
        <w:t xml:space="preserve">ingest_to_working()</w:t>
      </w:r>
      <w:r>
        <w:t xml:space="preserve"> </w:t>
      </w:r>
      <w:r>
        <w:t xml:space="preserve">for each table with proper source file tracking</w:t>
      </w:r>
    </w:p>
    <w:p>
      <w:pPr>
        <w:pStyle w:val="Compact"/>
        <w:numPr>
          <w:ilvl w:val="0"/>
          <w:numId w:val="1021"/>
        </w:numPr>
      </w:pPr>
      <w:r>
        <w:t xml:space="preserve">Returning ingestion statistics (rows input, rows after, timestamps)</w:t>
      </w:r>
    </w:p>
    <w:bookmarkEnd w:id="110"/>
    <w:bookmarkStart w:id="111" w:name="postgresql-workflow-legacy"/>
    <w:p>
      <w:pPr>
        <w:pStyle w:val="Heading4"/>
      </w:pPr>
      <w:r>
        <w:t xml:space="preserve">6.3.3.2 PostgreSQL Workflow (Legacy)</w:t>
      </w:r>
    </w:p>
    <w:p>
      <w:pPr>
        <w:pStyle w:val="FirstParagraph"/>
      </w:pPr>
      <w:r>
        <w:t xml:space="preserve">For PostgreSQL ingestion (being gradually deprecated):</w:t>
      </w:r>
    </w:p>
    <w:p>
      <w:pPr>
        <w:pStyle w:val="SourceCode"/>
      </w:pPr>
      <w:r>
        <w:rPr>
          <w:rStyle w:val="FunctionTok"/>
        </w:rPr>
        <w:t xml:space="preserve">library</w:t>
      </w:r>
      <w:r>
        <w:rPr>
          <w:rStyle w:val="NormalTok"/>
        </w:rPr>
        <w:t xml:space="preserve">(calcofi4db)</w:t>
      </w:r>
      <w:r>
        <w:br/>
      </w:r>
      <w:r>
        <w:rPr>
          <w:rStyle w:val="FunctionTok"/>
        </w:rPr>
        <w:t xml:space="preserve">library</w:t>
      </w:r>
      <w:r>
        <w:rPr>
          <w:rStyle w:val="NormalTok"/>
        </w:rPr>
        <w:t xml:space="preserve">(DBI)</w:t>
      </w:r>
      <w:r>
        <w:br/>
      </w:r>
      <w:r>
        <w:rPr>
          <w:rStyle w:val="FunctionTok"/>
        </w:rPr>
        <w:t xml:space="preserve">library</w:t>
      </w:r>
      <w:r>
        <w:rPr>
          <w:rStyle w:val="NormalTok"/>
        </w:rPr>
        <w:t xml:space="preserve">(RPostgres)</w:t>
      </w:r>
      <w:r>
        <w:br/>
      </w:r>
      <w:r>
        <w:br/>
      </w:r>
      <w:r>
        <w:rPr>
          <w:rStyle w:val="CommentTok"/>
        </w:rPr>
        <w:t xml:space="preserve"># connect to database</w:t>
      </w:r>
      <w:r>
        <w:br/>
      </w:r>
      <w:r>
        <w:rPr>
          <w:rStyle w:val="NormalTok"/>
        </w:rPr>
        <w:t xml:space="preserve">con </w:t>
      </w:r>
      <w:r>
        <w:rPr>
          <w:rStyle w:val="OtherTok"/>
        </w:rPr>
        <w:t xml:space="preserve">&lt;-</w:t>
      </w:r>
      <w:r>
        <w:rPr>
          <w:rStyle w:val="NormalTok"/>
        </w:rPr>
        <w:t xml:space="preserve"> </w:t>
      </w:r>
      <w:r>
        <w:rPr>
          <w:rStyle w:val="FunctionTok"/>
        </w:rPr>
        <w:t xml:space="preserve">dbConnect</w:t>
      </w:r>
      <w:r>
        <w:rPr>
          <w:rStyle w:val="NormalTok"/>
        </w:rPr>
        <w:t xml:space="preserve">(</w:t>
      </w:r>
      <w:r>
        <w:br/>
      </w:r>
      <w:r>
        <w:rPr>
          <w:rStyle w:val="NormalTok"/>
        </w:rPr>
        <w:t xml:space="preserve">  </w:t>
      </w:r>
      <w:r>
        <w:rPr>
          <w:rStyle w:val="FunctionTok"/>
        </w:rPr>
        <w:t xml:space="preserve">Postgres</w:t>
      </w:r>
      <w:r>
        <w:rPr>
          <w:rStyle w:val="NormalTok"/>
        </w:rPr>
        <w:t xml:space="preserve">(),</w:t>
      </w:r>
      <w:r>
        <w:br/>
      </w:r>
      <w:r>
        <w:rPr>
          <w:rStyle w:val="NormalTok"/>
        </w:rPr>
        <w:t xml:space="preserve">  </w:t>
      </w:r>
      <w:r>
        <w:rPr>
          <w:rStyle w:val="AttributeTok"/>
        </w:rPr>
        <w:t xml:space="preserve">dbname   =</w:t>
      </w:r>
      <w:r>
        <w:rPr>
          <w:rStyle w:val="NormalTok"/>
        </w:rPr>
        <w:t xml:space="preserve"> </w:t>
      </w:r>
      <w:r>
        <w:rPr>
          <w:rStyle w:val="StringTok"/>
        </w:rPr>
        <w:t xml:space="preserve">"gis"</w:t>
      </w:r>
      <w:r>
        <w:rPr>
          <w:rStyle w:val="NormalTok"/>
        </w:rPr>
        <w:t xml:space="preserve">,</w:t>
      </w:r>
      <w:r>
        <w:br/>
      </w:r>
      <w:r>
        <w:rPr>
          <w:rStyle w:val="NormalTok"/>
        </w:rPr>
        <w:t xml:space="preserve">  </w:t>
      </w:r>
      <w:r>
        <w:rPr>
          <w:rStyle w:val="AttributeTok"/>
        </w:rPr>
        <w:t xml:space="preserve">host     =</w:t>
      </w:r>
      <w:r>
        <w:rPr>
          <w:rStyle w:val="NormalTok"/>
        </w:rPr>
        <w:t xml:space="preserve"> </w:t>
      </w:r>
      <w:r>
        <w:rPr>
          <w:rStyle w:val="StringTok"/>
        </w:rPr>
        <w:t xml:space="preserve">"localhost"</w:t>
      </w:r>
      <w:r>
        <w:rPr>
          <w:rStyle w:val="NormalTok"/>
        </w:rPr>
        <w:t xml:space="preserve">,</w:t>
      </w:r>
      <w:r>
        <w:br/>
      </w:r>
      <w:r>
        <w:rPr>
          <w:rStyle w:val="NormalTok"/>
        </w:rPr>
        <w:t xml:space="preserve">  </w:t>
      </w:r>
      <w:r>
        <w:rPr>
          <w:rStyle w:val="AttributeTok"/>
        </w:rPr>
        <w:t xml:space="preserve">port     =</w:t>
      </w:r>
      <w:r>
        <w:rPr>
          <w:rStyle w:val="NormalTok"/>
        </w:rPr>
        <w:t xml:space="preserve"> </w:t>
      </w:r>
      <w:r>
        <w:rPr>
          <w:rStyle w:val="DecValTok"/>
        </w:rPr>
        <w:t xml:space="preserve">5432</w:t>
      </w:r>
      <w:r>
        <w:rPr>
          <w:rStyle w:val="NormalTok"/>
        </w:rPr>
        <w:t xml:space="preserve">,</w:t>
      </w:r>
      <w:r>
        <w:br/>
      </w:r>
      <w:r>
        <w:rPr>
          <w:rStyle w:val="NormalTok"/>
        </w:rPr>
        <w:t xml:space="preserve">  </w:t>
      </w:r>
      <w:r>
        <w:rPr>
          <w:rStyle w:val="AttributeTok"/>
        </w:rPr>
        <w:t xml:space="preserve">user     =</w:t>
      </w:r>
      <w:r>
        <w:rPr>
          <w:rStyle w:val="NormalTok"/>
        </w:rPr>
        <w:t xml:space="preserve"> </w:t>
      </w:r>
      <w:r>
        <w:rPr>
          <w:rStyle w:val="StringTok"/>
        </w:rPr>
        <w:t xml:space="preserve">"admin"</w:t>
      </w:r>
      <w:r>
        <w:rPr>
          <w:rStyle w:val="NormalTok"/>
        </w:rPr>
        <w:t xml:space="preserve">,</w:t>
      </w:r>
      <w:r>
        <w:br/>
      </w:r>
      <w:r>
        <w:rPr>
          <w:rStyle w:val="NormalTok"/>
        </w:rPr>
        <w:t xml:space="preserve">  </w:t>
      </w:r>
      <w:r>
        <w:rPr>
          <w:rStyle w:val="AttributeTok"/>
        </w:rPr>
        <w:t xml:space="preserve">password =</w:t>
      </w:r>
      <w:r>
        <w:rPr>
          <w:rStyle w:val="NormalTok"/>
        </w:rPr>
        <w:t xml:space="preserve"> </w:t>
      </w:r>
      <w:r>
        <w:rPr>
          <w:rStyle w:val="StringTok"/>
        </w:rPr>
        <w:t xml:space="preserve">"postgres"</w:t>
      </w:r>
      <w:r>
        <w:rPr>
          <w:rStyle w:val="NormalTok"/>
        </w:rPr>
        <w:t xml:space="preserve">)</w:t>
      </w:r>
      <w:r>
        <w:br/>
      </w:r>
      <w:r>
        <w:br/>
      </w:r>
      <w:r>
        <w:rPr>
          <w:rStyle w:val="CommentTok"/>
        </w:rPr>
        <w:t xml:space="preserve"># read CSV files and metadata</w:t>
      </w:r>
      <w:r>
        <w:br/>
      </w:r>
      <w:r>
        <w:rPr>
          <w:rStyle w:val="NormalTok"/>
        </w:rPr>
        <w:t xml:space="preserve">d </w:t>
      </w:r>
      <w:r>
        <w:rPr>
          <w:rStyle w:val="OtherTok"/>
        </w:rPr>
        <w:t xml:space="preserve">&lt;-</w:t>
      </w:r>
      <w:r>
        <w:rPr>
          <w:rStyle w:val="NormalTok"/>
        </w:rPr>
        <w:t xml:space="preserve"> </w:t>
      </w:r>
      <w:r>
        <w:rPr>
          <w:rStyle w:val="FunctionTok"/>
        </w:rPr>
        <w:t xml:space="preserve">read_csv_files</w:t>
      </w:r>
      <w:r>
        <w:rPr>
          <w:rStyle w:val="NormalTok"/>
        </w:rPr>
        <w:t xml:space="preserve">(</w:t>
      </w:r>
      <w:r>
        <w:br/>
      </w:r>
      <w:r>
        <w:rPr>
          <w:rStyle w:val="NormalTok"/>
        </w:rPr>
        <w:t xml:space="preserve">  </w:t>
      </w:r>
      <w:r>
        <w:rPr>
          <w:rStyle w:val="AttributeTok"/>
        </w:rPr>
        <w:t xml:space="preserve">provider =</w:t>
      </w:r>
      <w:r>
        <w:rPr>
          <w:rStyle w:val="NormalTok"/>
        </w:rPr>
        <w:t xml:space="preserve"> </w:t>
      </w:r>
      <w:r>
        <w:rPr>
          <w:rStyle w:val="StringTok"/>
        </w:rPr>
        <w:t xml:space="preserve">"swfsc"</w:t>
      </w:r>
      <w:r>
        <w:rPr>
          <w:rStyle w:val="NormalTok"/>
        </w:rPr>
        <w:t xml:space="preserve">,</w:t>
      </w:r>
      <w:r>
        <w:br/>
      </w:r>
      <w:r>
        <w:rPr>
          <w:rStyle w:val="NormalTok"/>
        </w:rPr>
        <w:t xml:space="preserve">  </w:t>
      </w:r>
      <w:r>
        <w:rPr>
          <w:rStyle w:val="AttributeTok"/>
        </w:rPr>
        <w:t xml:space="preserve">dataset  =</w:t>
      </w:r>
      <w:r>
        <w:rPr>
          <w:rStyle w:val="NormalTok"/>
        </w:rPr>
        <w:t xml:space="preserve"> </w:t>
      </w:r>
      <w:r>
        <w:rPr>
          <w:rStyle w:val="StringTok"/>
        </w:rPr>
        <w:t xml:space="preserve">"ichthyo"</w:t>
      </w:r>
      <w:r>
        <w:rPr>
          <w:rStyle w:val="NormalTok"/>
        </w:rPr>
        <w:t xml:space="preserve">)</w:t>
      </w:r>
      <w:r>
        <w:br/>
      </w:r>
      <w:r>
        <w:br/>
      </w:r>
      <w:r>
        <w:rPr>
          <w:rStyle w:val="CommentTok"/>
        </w:rPr>
        <w:t xml:space="preserve"># transform data according to redefinitions</w:t>
      </w:r>
      <w:r>
        <w:br/>
      </w:r>
      <w:r>
        <w:rPr>
          <w:rStyle w:val="NormalTok"/>
        </w:rPr>
        <w:t xml:space="preserve">transformed_data </w:t>
      </w:r>
      <w:r>
        <w:rPr>
          <w:rStyle w:val="OtherTok"/>
        </w:rPr>
        <w:t xml:space="preserve">&lt;-</w:t>
      </w:r>
      <w:r>
        <w:rPr>
          <w:rStyle w:val="NormalTok"/>
        </w:rPr>
        <w:t xml:space="preserve"> </w:t>
      </w:r>
      <w:r>
        <w:rPr>
          <w:rStyle w:val="FunctionTok"/>
        </w:rPr>
        <w:t xml:space="preserve">transform_data</w:t>
      </w:r>
      <w:r>
        <w:rPr>
          <w:rStyle w:val="NormalTok"/>
        </w:rPr>
        <w:t xml:space="preserve">(d)</w:t>
      </w:r>
      <w:r>
        <w:br/>
      </w:r>
      <w:r>
        <w:br/>
      </w:r>
      <w:r>
        <w:rPr>
          <w:rStyle w:val="CommentTok"/>
        </w:rPr>
        <w:t xml:space="preserve"># ingest into dev schema</w:t>
      </w:r>
      <w:r>
        <w:br/>
      </w:r>
      <w:r>
        <w:rPr>
          <w:rStyle w:val="FunctionTok"/>
        </w:rPr>
        <w:t xml:space="preserve">ingest_csv_to_db</w:t>
      </w:r>
      <w:r>
        <w:rPr>
          <w:rStyle w:val="NormalTok"/>
        </w:rPr>
        <w:t xml:space="preserve">(</w:t>
      </w:r>
      <w:r>
        <w:br/>
      </w:r>
      <w:r>
        <w:rPr>
          <w:rStyle w:val="NormalTok"/>
        </w:rPr>
        <w:t xml:space="preserve">  </w:t>
      </w:r>
      <w:r>
        <w:rPr>
          <w:rStyle w:val="AttributeTok"/>
        </w:rPr>
        <w:t xml:space="preserve">con              =</w:t>
      </w:r>
      <w:r>
        <w:rPr>
          <w:rStyle w:val="NormalTok"/>
        </w:rPr>
        <w:t xml:space="preserve"> con,</w:t>
      </w:r>
      <w:r>
        <w:br/>
      </w:r>
      <w:r>
        <w:rPr>
          <w:rStyle w:val="NormalTok"/>
        </w:rPr>
        <w:t xml:space="preserve">  </w:t>
      </w:r>
      <w:r>
        <w:rPr>
          <w:rStyle w:val="AttributeTok"/>
        </w:rPr>
        <w:t xml:space="preserve">schema           =</w:t>
      </w:r>
      <w:r>
        <w:rPr>
          <w:rStyle w:val="NormalTok"/>
        </w:rPr>
        <w:t xml:space="preserve"> </w:t>
      </w:r>
      <w:r>
        <w:rPr>
          <w:rStyle w:val="StringTok"/>
        </w:rPr>
        <w:t xml:space="preserve">"dev"</w:t>
      </w:r>
      <w:r>
        <w:rPr>
          <w:rStyle w:val="NormalTok"/>
        </w:rPr>
        <w:t xml:space="preserve">,</w:t>
      </w:r>
      <w:r>
        <w:br/>
      </w:r>
      <w:r>
        <w:rPr>
          <w:rStyle w:val="NormalTok"/>
        </w:rPr>
        <w:t xml:space="preserve">  </w:t>
      </w:r>
      <w:r>
        <w:rPr>
          <w:rStyle w:val="AttributeTok"/>
        </w:rPr>
        <w:t xml:space="preserve">transformed_data =</w:t>
      </w:r>
      <w:r>
        <w:rPr>
          <w:rStyle w:val="NormalTok"/>
        </w:rPr>
        <w:t xml:space="preserve"> transformed_data,</w:t>
      </w:r>
      <w:r>
        <w:br/>
      </w:r>
      <w:r>
        <w:rPr>
          <w:rStyle w:val="NormalTok"/>
        </w:rPr>
        <w:t xml:space="preserve">  </w:t>
      </w:r>
      <w:r>
        <w:rPr>
          <w:rStyle w:val="AttributeTok"/>
        </w:rPr>
        <w:t xml:space="preserve">d_flds_rd        =</w:t>
      </w:r>
      <w:r>
        <w:rPr>
          <w:rStyle w:val="NormalTok"/>
        </w:rPr>
        <w:t xml:space="preserve"> d</w:t>
      </w:r>
      <w:r>
        <w:rPr>
          <w:rStyle w:val="SpecialCharTok"/>
        </w:rPr>
        <w:t xml:space="preserve">$</w:t>
      </w:r>
      <w:r>
        <w:rPr>
          <w:rStyle w:val="NormalTok"/>
        </w:rPr>
        <w:t xml:space="preserve">d_flds_rd,</w:t>
      </w:r>
      <w:r>
        <w:br/>
      </w:r>
      <w:r>
        <w:rPr>
          <w:rStyle w:val="NormalTok"/>
        </w:rPr>
        <w:t xml:space="preserve">  </w:t>
      </w:r>
      <w:r>
        <w:rPr>
          <w:rStyle w:val="AttributeTok"/>
        </w:rPr>
        <w:t xml:space="preserve">d_gdata          =</w:t>
      </w:r>
      <w:r>
        <w:rPr>
          <w:rStyle w:val="NormalTok"/>
        </w:rPr>
        <w:t xml:space="preserve"> d</w:t>
      </w:r>
      <w:r>
        <w:rPr>
          <w:rStyle w:val="SpecialCharTok"/>
        </w:rPr>
        <w:t xml:space="preserve">$</w:t>
      </w:r>
      <w:r>
        <w:rPr>
          <w:rStyle w:val="NormalTok"/>
        </w:rPr>
        <w:t xml:space="preserve">d_gdata,</w:t>
      </w:r>
      <w:r>
        <w:br/>
      </w:r>
      <w:r>
        <w:rPr>
          <w:rStyle w:val="NormalTok"/>
        </w:rPr>
        <w:t xml:space="preserve">  </w:t>
      </w:r>
      <w:r>
        <w:rPr>
          <w:rStyle w:val="AttributeTok"/>
        </w:rPr>
        <w:t xml:space="preserve">workflow_info    =</w:t>
      </w:r>
      <w:r>
        <w:rPr>
          <w:rStyle w:val="NormalTok"/>
        </w:rPr>
        <w:t xml:space="preserve"> d</w:t>
      </w:r>
      <w:r>
        <w:rPr>
          <w:rStyle w:val="SpecialCharTok"/>
        </w:rPr>
        <w:t xml:space="preserve">$</w:t>
      </w:r>
      <w:r>
        <w:rPr>
          <w:rStyle w:val="NormalTok"/>
        </w:rPr>
        <w:t xml:space="preserve">workflow_info)</w:t>
      </w:r>
      <w:r>
        <w:br/>
      </w:r>
      <w:r>
        <w:br/>
      </w:r>
      <w:r>
        <w:rPr>
          <w:rStyle w:val="CommentTok"/>
        </w:rPr>
        <w:t xml:space="preserve"># record schema version</w:t>
      </w:r>
      <w:r>
        <w:br/>
      </w:r>
      <w:r>
        <w:rPr>
          <w:rStyle w:val="FunctionTok"/>
        </w:rPr>
        <w:t xml:space="preserve">record_schema_version</w:t>
      </w:r>
      <w:r>
        <w:rPr>
          <w:rStyle w:val="NormalTok"/>
        </w:rPr>
        <w:t xml:space="preserve">(</w:t>
      </w:r>
      <w:r>
        <w:br/>
      </w:r>
      <w:r>
        <w:rPr>
          <w:rStyle w:val="NormalTok"/>
        </w:rPr>
        <w:t xml:space="preserve">  </w:t>
      </w:r>
      <w:r>
        <w:rPr>
          <w:rStyle w:val="AttributeTok"/>
        </w:rPr>
        <w:t xml:space="preserve">con              =</w:t>
      </w:r>
      <w:r>
        <w:rPr>
          <w:rStyle w:val="NormalTok"/>
        </w:rPr>
        <w:t xml:space="preserve"> con,</w:t>
      </w:r>
      <w:r>
        <w:br/>
      </w:r>
      <w:r>
        <w:rPr>
          <w:rStyle w:val="NormalTok"/>
        </w:rPr>
        <w:t xml:space="preserve">  </w:t>
      </w:r>
      <w:r>
        <w:rPr>
          <w:rStyle w:val="AttributeTok"/>
        </w:rPr>
        <w:t xml:space="preserve">schema           =</w:t>
      </w:r>
      <w:r>
        <w:rPr>
          <w:rStyle w:val="NormalTok"/>
        </w:rPr>
        <w:t xml:space="preserve"> </w:t>
      </w:r>
      <w:r>
        <w:rPr>
          <w:rStyle w:val="StringTok"/>
        </w:rPr>
        <w:t xml:space="preserve">"dev"</w:t>
      </w:r>
      <w:r>
        <w:rPr>
          <w:rStyle w:val="NormalTok"/>
        </w:rPr>
        <w:t xml:space="preserve">,</w:t>
      </w:r>
      <w:r>
        <w:br/>
      </w:r>
      <w:r>
        <w:rPr>
          <w:rStyle w:val="NormalTok"/>
        </w:rPr>
        <w:t xml:space="preserve">  </w:t>
      </w:r>
      <w:r>
        <w:rPr>
          <w:rStyle w:val="AttributeTok"/>
        </w:rPr>
        <w:t xml:space="preserve">version          =</w:t>
      </w:r>
      <w:r>
        <w:rPr>
          <w:rStyle w:val="NormalTok"/>
        </w:rPr>
        <w:t xml:space="preserve"> </w:t>
      </w:r>
      <w:r>
        <w:rPr>
          <w:rStyle w:val="StringTok"/>
        </w:rPr>
        <w:t xml:space="preserve">"1.0.0"</w:t>
      </w:r>
      <w:r>
        <w:rPr>
          <w:rStyle w:val="NormalTok"/>
        </w:rPr>
        <w:t xml:space="preserve">,</w:t>
      </w:r>
      <w:r>
        <w:br/>
      </w:r>
      <w:r>
        <w:rPr>
          <w:rStyle w:val="NormalTok"/>
        </w:rPr>
        <w:t xml:space="preserve">  </w:t>
      </w:r>
      <w:r>
        <w:rPr>
          <w:rStyle w:val="AttributeTok"/>
        </w:rPr>
        <w:t xml:space="preserve">description      =</w:t>
      </w:r>
      <w:r>
        <w:rPr>
          <w:rStyle w:val="NormalTok"/>
        </w:rPr>
        <w:t xml:space="preserve"> </w:t>
      </w:r>
      <w:r>
        <w:rPr>
          <w:rStyle w:val="StringTok"/>
        </w:rPr>
        <w:t xml:space="preserve">"Initial ingestion of NOAA CalCOFI Database"</w:t>
      </w:r>
      <w:r>
        <w:rPr>
          <w:rStyle w:val="NormalTok"/>
        </w:rPr>
        <w:t xml:space="preserve">,</w:t>
      </w:r>
      <w:r>
        <w:br/>
      </w:r>
      <w:r>
        <w:rPr>
          <w:rStyle w:val="NormalTok"/>
        </w:rPr>
        <w:t xml:space="preserve">  </w:t>
      </w:r>
      <w:r>
        <w:rPr>
          <w:rStyle w:val="AttributeTok"/>
        </w:rPr>
        <w:t xml:space="preserve">script_permalink =</w:t>
      </w:r>
      <w:r>
        <w:rPr>
          <w:rStyle w:val="NormalTok"/>
        </w:rPr>
        <w:t xml:space="preserve"> </w:t>
      </w:r>
      <w:r>
        <w:rPr>
          <w:rStyle w:val="StringTok"/>
        </w:rPr>
        <w:t xml:space="preserve">"https://github.com/CalCOFI/calcofi4db/blob/main/inst/create_db.qmd"</w:t>
      </w:r>
      <w:r>
        <w:rPr>
          <w:rStyle w:val="NormalTok"/>
        </w:rPr>
        <w:t xml:space="preserve">)</w:t>
      </w:r>
    </w:p>
    <w:bookmarkEnd w:id="111"/>
    <w:bookmarkEnd w:id="112"/>
    <w:bookmarkStart w:id="113" w:name="schema-versioning"/>
    <w:p>
      <w:pPr>
        <w:pStyle w:val="Heading3"/>
      </w:pPr>
      <w:r>
        <w:t xml:space="preserve">6.3.4 Schema versioning</w:t>
      </w:r>
    </w:p>
    <w:p>
      <w:pPr>
        <w:pStyle w:val="FirstParagraph"/>
      </w:pPr>
      <w:r>
        <w:t xml:space="preserve">Each successful ingestion creates a new schema version recorded in the</w:t>
      </w:r>
      <w:r>
        <w:t xml:space="preserve"> </w:t>
      </w:r>
      <w:r>
        <w:rPr>
          <w:rStyle w:val="VerbatimChar"/>
        </w:rPr>
        <w:t xml:space="preserve">schema_version</w:t>
      </w:r>
      <w:r>
        <w:t xml:space="preserve"> </w:t>
      </w:r>
      <w:r>
        <w:t xml:space="preserve">table with:</w:t>
      </w:r>
    </w:p>
    <w:p>
      <w:pPr>
        <w:pStyle w:val="Compact"/>
        <w:numPr>
          <w:ilvl w:val="0"/>
          <w:numId w:val="1022"/>
        </w:numPr>
      </w:pPr>
      <w:r>
        <w:rPr>
          <w:b/>
          <w:bCs/>
        </w:rPr>
        <w:t xml:space="preserve">version</w:t>
      </w:r>
      <w:r>
        <w:t xml:space="preserve">: Semantic version number (e.g.,</w:t>
      </w:r>
      <w:r>
        <w:t xml:space="preserve"> </w:t>
      </w:r>
      <w:r>
        <w:t xml:space="preserve">“1.0.0”</w:t>
      </w:r>
      <w:r>
        <w:t xml:space="preserve">,</w:t>
      </w:r>
      <w:r>
        <w:t xml:space="preserve"> </w:t>
      </w:r>
      <w:r>
        <w:t xml:space="preserve">“1.1.0”</w:t>
      </w:r>
      <w:r>
        <w:t xml:space="preserve">)</w:t>
      </w:r>
    </w:p>
    <w:p>
      <w:pPr>
        <w:pStyle w:val="Compact"/>
        <w:numPr>
          <w:ilvl w:val="0"/>
          <w:numId w:val="1022"/>
        </w:numPr>
      </w:pPr>
      <w:r>
        <w:rPr>
          <w:b/>
          <w:bCs/>
        </w:rPr>
        <w:t xml:space="preserve">description</w:t>
      </w:r>
      <w:r>
        <w:t xml:space="preserve">: Changes introduced in this version</w:t>
      </w:r>
    </w:p>
    <w:p>
      <w:pPr>
        <w:pStyle w:val="Compact"/>
        <w:numPr>
          <w:ilvl w:val="0"/>
          <w:numId w:val="1022"/>
        </w:numPr>
      </w:pPr>
      <w:r>
        <w:rPr>
          <w:b/>
          <w:bCs/>
        </w:rPr>
        <w:t xml:space="preserve">date_created</w:t>
      </w:r>
      <w:r>
        <w:t xml:space="preserve">: Timestamp of ingestion</w:t>
      </w:r>
    </w:p>
    <w:p>
      <w:pPr>
        <w:pStyle w:val="Compact"/>
        <w:numPr>
          <w:ilvl w:val="0"/>
          <w:numId w:val="1022"/>
        </w:numPr>
      </w:pPr>
      <w:r>
        <w:rPr>
          <w:b/>
          <w:bCs/>
        </w:rPr>
        <w:t xml:space="preserve">script_permalink</w:t>
      </w:r>
      <w:r>
        <w:t xml:space="preserve">: GitHub permalink to the versioned ingestion script</w:t>
      </w:r>
    </w:p>
    <w:p>
      <w:pPr>
        <w:pStyle w:val="FirstParagraph"/>
      </w:pPr>
      <w:r>
        <w:t xml:space="preserve">Versions are also archived as SQL dumps in Google Drive for reproducibility.</w:t>
      </w:r>
    </w:p>
    <w:bookmarkEnd w:id="113"/>
    <w:bookmarkStart w:id="116" w:name="metadata-and-documentation"/>
    <w:p>
      <w:pPr>
        <w:pStyle w:val="Heading3"/>
      </w:pPr>
      <w:r>
        <w:t xml:space="preserve">6.3.5 Metadata and documentation</w:t>
      </w:r>
    </w:p>
    <w:p>
      <w:pPr>
        <w:pStyle w:val="FirstParagraph"/>
      </w:pPr>
      <w:r>
        <w:t xml:space="preserve">After ingestion, metadata is stored in PostgreSQL</w:t>
      </w:r>
      <w:r>
        <w:t xml:space="preserve"> </w:t>
      </w:r>
      <w:r>
        <w:rPr>
          <w:rStyle w:val="VerbatimChar"/>
        </w:rPr>
        <w:t xml:space="preserve">COMMENT</w:t>
      </w:r>
      <w:r>
        <w:t xml:space="preserve">s as JSON at the</w:t>
      </w:r>
      <w:r>
        <w:t xml:space="preserve"> </w:t>
      </w:r>
      <w:r>
        <w:rPr>
          <w:b/>
          <w:bCs/>
        </w:rPr>
        <w:t xml:space="preserve">table</w:t>
      </w:r>
      <w:r>
        <w:t xml:space="preserve"> </w:t>
      </w:r>
      <w:r>
        <w:t xml:space="preserve">level:</w:t>
      </w:r>
    </w:p>
    <w:p>
      <w:pPr>
        <w:pStyle w:val="Compact"/>
        <w:numPr>
          <w:ilvl w:val="0"/>
          <w:numId w:val="1023"/>
        </w:numPr>
      </w:pPr>
      <w:r>
        <w:rPr>
          <w:b/>
          <w:bCs/>
        </w:rPr>
        <w:t xml:space="preserve">description</w:t>
      </w:r>
      <w:r>
        <w:t xml:space="preserve">: General description and row uniqueness</w:t>
      </w:r>
    </w:p>
    <w:p>
      <w:pPr>
        <w:pStyle w:val="Compact"/>
        <w:numPr>
          <w:ilvl w:val="0"/>
          <w:numId w:val="1023"/>
        </w:numPr>
      </w:pPr>
      <w:r>
        <w:rPr>
          <w:b/>
          <w:bCs/>
        </w:rPr>
        <w:t xml:space="preserve">source</w:t>
      </w:r>
      <w:r>
        <w:t xml:space="preserve">: CSV file link to Google Drive</w:t>
      </w:r>
    </w:p>
    <w:p>
      <w:pPr>
        <w:pStyle w:val="Compact"/>
        <w:numPr>
          <w:ilvl w:val="0"/>
          <w:numId w:val="1023"/>
        </w:numPr>
      </w:pPr>
      <w:r>
        <w:rPr>
          <w:b/>
          <w:bCs/>
        </w:rPr>
        <w:t xml:space="preserve">source_created</w:t>
      </w:r>
      <w:r>
        <w:t xml:space="preserve">: Source file creation timestamp</w:t>
      </w:r>
    </w:p>
    <w:p>
      <w:pPr>
        <w:pStyle w:val="Compact"/>
        <w:numPr>
          <w:ilvl w:val="0"/>
          <w:numId w:val="1023"/>
        </w:numPr>
      </w:pPr>
      <w:r>
        <w:rPr>
          <w:b/>
          <w:bCs/>
        </w:rPr>
        <w:t xml:space="preserve">workflow</w:t>
      </w:r>
      <w:r>
        <w:t xml:space="preserve">: Link to rendered ingestion script</w:t>
      </w:r>
    </w:p>
    <w:p>
      <w:pPr>
        <w:pStyle w:val="Compact"/>
        <w:numPr>
          <w:ilvl w:val="0"/>
          <w:numId w:val="1023"/>
        </w:numPr>
      </w:pPr>
      <w:r>
        <w:rPr>
          <w:b/>
          <w:bCs/>
        </w:rPr>
        <w:t xml:space="preserve">workflow_ingested</w:t>
      </w:r>
      <w:r>
        <w:t xml:space="preserve">: Ingestion timestamp</w:t>
      </w:r>
    </w:p>
    <w:p>
      <w:pPr>
        <w:pStyle w:val="FirstParagraph"/>
      </w:pPr>
      <w:r>
        <w:t xml:space="preserve">And at the</w:t>
      </w:r>
      <w:r>
        <w:t xml:space="preserve"> </w:t>
      </w:r>
      <w:r>
        <w:rPr>
          <w:b/>
          <w:bCs/>
        </w:rPr>
        <w:t xml:space="preserve">field</w:t>
      </w:r>
      <w:r>
        <w:t xml:space="preserve"> </w:t>
      </w:r>
      <w:r>
        <w:t xml:space="preserve">level:</w:t>
      </w:r>
    </w:p>
    <w:p>
      <w:pPr>
        <w:pStyle w:val="Compact"/>
        <w:numPr>
          <w:ilvl w:val="0"/>
          <w:numId w:val="1024"/>
        </w:numPr>
      </w:pPr>
      <w:r>
        <w:rPr>
          <w:b/>
          <w:bCs/>
        </w:rPr>
        <w:t xml:space="preserve">description</w:t>
      </w:r>
      <w:r>
        <w:t xml:space="preserve">: Field description</w:t>
      </w:r>
    </w:p>
    <w:p>
      <w:pPr>
        <w:pStyle w:val="Compact"/>
        <w:numPr>
          <w:ilvl w:val="0"/>
          <w:numId w:val="1024"/>
        </w:numPr>
      </w:pPr>
      <w:r>
        <w:rPr>
          <w:b/>
          <w:bCs/>
        </w:rPr>
        <w:t xml:space="preserve">units</w:t>
      </w:r>
      <w:r>
        <w:t xml:space="preserve">: SI units where applicable</w:t>
      </w:r>
    </w:p>
    <w:p>
      <w:pPr>
        <w:pStyle w:val="FirstParagraph"/>
      </w:pPr>
      <w:r>
        <w:t xml:space="preserve">These comments are exposed via the API</w:t>
      </w:r>
      <w:r>
        <w:t xml:space="preserve"> </w:t>
      </w:r>
      <w:hyperlink r:id="rId114">
        <w:r>
          <w:rPr>
            <w:rStyle w:val="Hyperlink"/>
          </w:rPr>
          <w:t xml:space="preserve">db_tables</w:t>
        </w:r>
      </w:hyperlink>
      <w:r>
        <w:t xml:space="preserve"> </w:t>
      </w:r>
      <w:r>
        <w:t xml:space="preserve">endpoint and rendered with</w:t>
      </w:r>
      <w:r>
        <w:t xml:space="preserve"> </w:t>
      </w:r>
      <w:hyperlink r:id="rId115">
        <w:r>
          <w:rPr>
            <w:rStyle w:val="Hyperlink"/>
          </w:rPr>
          <w:t xml:space="preserve">calcofi4r::cc_db_catalog</w:t>
        </w:r>
      </w:hyperlink>
      <w:r>
        <w:t xml:space="preserve">.</w:t>
      </w:r>
    </w:p>
    <w:bookmarkEnd w:id="116"/>
    <w:bookmarkStart w:id="119" w:name="publishing-to-portals"/>
    <w:p>
      <w:pPr>
        <w:pStyle w:val="Heading3"/>
      </w:pPr>
      <w:r>
        <w:t xml:space="preserve">6.3.6 Publishing to portals</w:t>
      </w:r>
    </w:p>
    <w:p>
      <w:pPr>
        <w:pStyle w:val="FirstParagraph"/>
      </w:pPr>
      <w:r>
        <w:t xml:space="preserve">After</w:t>
      </w:r>
      <w:r>
        <w:t xml:space="preserve"> </w:t>
      </w:r>
      <w:r>
        <w:rPr>
          <w:rStyle w:val="VerbatimChar"/>
        </w:rPr>
        <w:t xml:space="preserve">prod</w:t>
      </w:r>
      <w:r>
        <w:t xml:space="preserve"> </w:t>
      </w:r>
      <w:r>
        <w:t xml:space="preserve">schema is versioned, additional workflows publish data to</w:t>
      </w:r>
      <w:r>
        <w:t xml:space="preserve"> </w:t>
      </w:r>
      <w:hyperlink r:id="rId117">
        <w:r>
          <w:rPr>
            <w:rStyle w:val="Hyperlink"/>
          </w:rPr>
          <w:t xml:space="preserve">Portals</w:t>
        </w:r>
      </w:hyperlink>
      <w:r>
        <w:t xml:space="preserve"> </w:t>
      </w:r>
      <w:r>
        <w:t xml:space="preserve">(ERDDAP, EDI, OBIS, NCEI) using ecological metadata language (EML) via the</w:t>
      </w:r>
      <w:r>
        <w:t xml:space="preserve"> </w:t>
      </w:r>
      <w:hyperlink r:id="rId118">
        <w:r>
          <w:rPr>
            <w:rStyle w:val="Hyperlink"/>
          </w:rPr>
          <w:t xml:space="preserve">EML</w:t>
        </w:r>
      </w:hyperlink>
      <w:r>
        <w:t xml:space="preserve"> </w:t>
      </w:r>
      <w:r>
        <w:t xml:space="preserve">R package, pulling metadata directly from database comments.</w:t>
      </w:r>
    </w:p>
    <w:bookmarkEnd w:id="119"/>
    <w:bookmarkStart w:id="123" w:name="or-describe-tables-and-columns-directly"/>
    <w:p>
      <w:pPr>
        <w:pStyle w:val="Heading3"/>
      </w:pPr>
      <w:r>
        <w:t xml:space="preserve">6.3.7 OR Describe tables and columns directly</w:t>
      </w:r>
    </w:p>
    <w:p>
      <w:pPr>
        <w:numPr>
          <w:ilvl w:val="0"/>
          <w:numId w:val="1025"/>
        </w:numPr>
      </w:pPr>
      <w:r>
        <w:t xml:space="preserve">Use the</w:t>
      </w:r>
      <w:r>
        <w:t xml:space="preserve"> </w:t>
      </w:r>
      <w:r>
        <w:rPr>
          <w:rStyle w:val="VerbatimChar"/>
        </w:rPr>
        <w:t xml:space="preserve">COMMENT</w:t>
      </w:r>
      <w:r>
        <w:t xml:space="preserve"> </w:t>
      </w:r>
      <w:r>
        <w:t xml:space="preserve">clause to add descriptions to tables and columns, either through the GUI</w:t>
      </w:r>
      <w:r>
        <w:t xml:space="preserve"> </w:t>
      </w:r>
      <w:hyperlink r:id="rId120">
        <w:r>
          <w:rPr>
            <w:rStyle w:val="Hyperlink"/>
          </w:rPr>
          <w:t xml:space="preserve">pgadmin.calcofi.io</w:t>
        </w:r>
      </w:hyperlink>
      <w:r>
        <w:t xml:space="preserve"> </w:t>
      </w:r>
      <w:r>
        <w:t xml:space="preserve">(by right-clicking on the table or column and selecting</w:t>
      </w:r>
      <w:r>
        <w:t xml:space="preserve"> </w:t>
      </w:r>
      <w:r>
        <w:rPr>
          <w:rStyle w:val="VerbatimChar"/>
        </w:rPr>
        <w:t xml:space="preserve">Properties</w:t>
      </w:r>
      <w:r>
        <w:t xml:space="preserve">) or with SQL. For example:</w:t>
      </w:r>
    </w:p>
    <w:p>
      <w:pPr>
        <w:pStyle w:val="SourceCode"/>
        <w:numPr>
          <w:ilvl w:val="0"/>
          <w:numId w:val="1000"/>
        </w:numPr>
      </w:pPr>
      <w:r>
        <w:rPr>
          <w:rStyle w:val="KeywordTok"/>
        </w:rPr>
        <w:t xml:space="preserve">COMMENT</w:t>
      </w:r>
      <w:r>
        <w:rPr>
          <w:rStyle w:val="NormalTok"/>
        </w:rPr>
        <w:t xml:space="preserve"> </w:t>
      </w:r>
      <w:r>
        <w:rPr>
          <w:rStyle w:val="KeywordTok"/>
        </w:rPr>
        <w:t xml:space="preserve">ON</w:t>
      </w:r>
      <w:r>
        <w:rPr>
          <w:rStyle w:val="NormalTok"/>
        </w:rPr>
        <w:t xml:space="preserve"> </w:t>
      </w:r>
      <w:r>
        <w:rPr>
          <w:rStyle w:val="KeywordTok"/>
        </w:rPr>
        <w:t xml:space="preserve">TABLE</w:t>
      </w:r>
      <w:r>
        <w:rPr>
          <w:rStyle w:val="NormalTok"/>
        </w:rPr>
        <w:t xml:space="preserve"> </w:t>
      </w:r>
      <w:r>
        <w:rPr>
          <w:rStyle w:val="KeywordTok"/>
        </w:rPr>
        <w:t xml:space="preserve">public</w:t>
      </w:r>
      <w:r>
        <w:rPr>
          <w:rStyle w:val="NormalTok"/>
        </w:rPr>
        <w:t xml:space="preserve">.aoi_fed_sanctuaries </w:t>
      </w:r>
      <w:r>
        <w:rPr>
          <w:rStyle w:val="KeywordTok"/>
        </w:rPr>
        <w:t xml:space="preserve">IS</w:t>
      </w:r>
      <w:r>
        <w:rPr>
          <w:rStyle w:val="NormalTok"/>
        </w:rPr>
        <w:t xml:space="preserve"> </w:t>
      </w:r>
      <w:r>
        <w:rPr>
          <w:rStyle w:val="StringTok"/>
        </w:rPr>
        <w:t xml:space="preserve">'areas of interest (`aoi`) polygons for federal **National Marine Sanctuaries**; loaded by _workflow_ [load_sanctuaries](https://calcofi.io/workflows/load_sanctuaries.html)'</w:t>
      </w:r>
      <w:r>
        <w:rPr>
          <w:rStyle w:val="NormalTok"/>
        </w:rPr>
        <w:t xml:space="preserve">;</w:t>
      </w:r>
    </w:p>
    <w:p>
      <w:pPr>
        <w:numPr>
          <w:ilvl w:val="0"/>
          <w:numId w:val="1025"/>
        </w:numPr>
      </w:pPr>
      <w:r>
        <w:t xml:space="preserve">Note the use of</w:t>
      </w:r>
      <w:r>
        <w:t xml:space="preserve"> </w:t>
      </w:r>
      <w:hyperlink r:id="rId121">
        <w:r>
          <w:rPr>
            <w:rStyle w:val="Hyperlink"/>
            <w:b/>
            <w:bCs/>
          </w:rPr>
          <w:t xml:space="preserve">markdown</w:t>
        </w:r>
      </w:hyperlink>
      <w:r>
        <w:t xml:space="preserve"> </w:t>
      </w:r>
      <w:r>
        <w:t xml:space="preserve">for including links and formatting (e.g., bold, code, italics), such that the above SQL will render like so:</w:t>
      </w:r>
    </w:p>
    <w:p>
      <w:pPr>
        <w:pStyle w:val="BlockText"/>
        <w:numPr>
          <w:ilvl w:val="0"/>
          <w:numId w:val="1000"/>
        </w:numPr>
      </w:pPr>
      <w:r>
        <w:t xml:space="preserve">areas of interest (</w:t>
      </w:r>
      <w:r>
        <w:rPr>
          <w:rStyle w:val="VerbatimChar"/>
        </w:rPr>
        <w:t xml:space="preserve">aoi</w:t>
      </w:r>
      <w:r>
        <w:t xml:space="preserve">) polygons for federal</w:t>
      </w:r>
      <w:r>
        <w:t xml:space="preserve"> </w:t>
      </w:r>
      <w:r>
        <w:rPr>
          <w:b/>
          <w:bCs/>
        </w:rPr>
        <w:t xml:space="preserve">National Marine Sanctuaries</w:t>
      </w:r>
      <w:r>
        <w:t xml:space="preserve">; loaded by</w:t>
      </w:r>
      <w:r>
        <w:t xml:space="preserve"> </w:t>
      </w:r>
      <w:r>
        <w:rPr>
          <w:i/>
          <w:iCs/>
        </w:rPr>
        <w:t xml:space="preserve">workflow</w:t>
      </w:r>
      <w:r>
        <w:t xml:space="preserve"> </w:t>
      </w:r>
      <w:hyperlink r:id="rId122">
        <w:r>
          <w:rPr>
            <w:rStyle w:val="Hyperlink"/>
          </w:rPr>
          <w:t xml:space="preserve">load_sanctuaries</w:t>
        </w:r>
      </w:hyperlink>
    </w:p>
    <w:p>
      <w:pPr>
        <w:numPr>
          <w:ilvl w:val="0"/>
          <w:numId w:val="1025"/>
        </w:numPr>
      </w:pPr>
      <w:r>
        <w:t xml:space="preserve">It is especially helpful to link to any</w:t>
      </w:r>
      <w:r>
        <w:t xml:space="preserve"> </w:t>
      </w:r>
      <w:r>
        <w:rPr>
          <w:b/>
          <w:bCs/>
          <w:i/>
          <w:iCs/>
        </w:rPr>
        <w:t xml:space="preserve">workflows</w:t>
      </w:r>
      <w:r>
        <w:t xml:space="preserve"> </w:t>
      </w:r>
      <w:r>
        <w:t xml:space="preserve">that are responsible for the ingesting or updating of the input data.</w:t>
      </w:r>
    </w:p>
    <w:bookmarkEnd w:id="123"/>
    <w:bookmarkStart w:id="126" w:name="display-tables-and-columns-with-metadata"/>
    <w:p>
      <w:pPr>
        <w:pStyle w:val="Heading3"/>
      </w:pPr>
      <w:r>
        <w:t xml:space="preserve">6.3.8 Display tables and columns with metadata</w:t>
      </w:r>
    </w:p>
    <w:p>
      <w:pPr>
        <w:pStyle w:val="Compact"/>
        <w:numPr>
          <w:ilvl w:val="0"/>
          <w:numId w:val="1026"/>
        </w:numPr>
      </w:pPr>
      <w:r>
        <w:t xml:space="preserve">These descriptions can be viewed in the CalCOFI</w:t>
      </w:r>
      <w:r>
        <w:t xml:space="preserve"> </w:t>
      </w:r>
      <w:r>
        <w:rPr>
          <w:b/>
          <w:bCs/>
        </w:rPr>
        <w:t xml:space="preserve">API</w:t>
      </w:r>
      <w:r>
        <w:t xml:space="preserve"> </w:t>
      </w:r>
      <w:hyperlink r:id="rId73">
        <w:r>
          <w:rPr>
            <w:rStyle w:val="Hyperlink"/>
          </w:rPr>
          <w:t xml:space="preserve">api.calcofi.io</w:t>
        </w:r>
      </w:hyperlink>
      <w:r>
        <w:t xml:space="preserve"> </w:t>
      </w:r>
      <w:r>
        <w:t xml:space="preserve">as CSV tables (see code in</w:t>
      </w:r>
      <w:r>
        <w:t xml:space="preserve"> </w:t>
      </w:r>
      <w:hyperlink r:id="rId124">
        <w:r>
          <w:rPr>
            <w:rStyle w:val="Hyperlink"/>
          </w:rPr>
          <w:t xml:space="preserve">calcofi/api:</w:t>
        </w:r>
        <w:r>
          <w:rPr>
            <w:rStyle w:val="Hyperlink"/>
          </w:rPr>
          <w:t xml:space="preserve"> </w:t>
        </w:r>
        <w:r>
          <w:rPr>
            <w:rStyle w:val="VerbatimChar"/>
          </w:rPr>
          <w:t xml:space="preserve">plumber.R</w:t>
        </w:r>
      </w:hyperlink>
      <w:r>
        <w:t xml:space="preserve">):</w:t>
      </w:r>
    </w:p>
    <w:p>
      <w:pPr>
        <w:pStyle w:val="Compact"/>
        <w:numPr>
          <w:ilvl w:val="1"/>
          <w:numId w:val="1027"/>
        </w:numPr>
      </w:pPr>
      <w:hyperlink r:id="rId114">
        <w:r>
          <w:rPr>
            <w:rStyle w:val="Hyperlink"/>
          </w:rPr>
          <w:t xml:space="preserve">api.calcofi.io</w:t>
        </w:r>
        <w:r>
          <w:rPr>
            <w:rStyle w:val="VerbatimChar"/>
          </w:rPr>
          <w:t xml:space="preserve">/db_tables</w:t>
        </w:r>
      </w:hyperlink>
      <w:r>
        <w:br/>
      </w:r>
      <w:r>
        <w:t xml:space="preserve">fields:</w:t>
      </w:r>
      <w:r>
        <w:br/>
      </w:r>
    </w:p>
    <w:p>
      <w:pPr>
        <w:pStyle w:val="Compact"/>
        <w:numPr>
          <w:ilvl w:val="2"/>
          <w:numId w:val="1028"/>
        </w:numPr>
      </w:pPr>
      <w:r>
        <w:rPr>
          <w:rStyle w:val="VerbatimChar"/>
        </w:rPr>
        <w:t xml:space="preserve">schema</w:t>
      </w:r>
      <w:r>
        <w:t xml:space="preserve">: (only</w:t>
      </w:r>
      <w:r>
        <w:t xml:space="preserve"> </w:t>
      </w:r>
      <w:r>
        <w:t xml:space="preserve">“public”</w:t>
      </w:r>
      <w:r>
        <w:t xml:space="preserve"> </w:t>
      </w:r>
      <w:r>
        <w:t xml:space="preserve">so far)</w:t>
      </w:r>
    </w:p>
    <w:p>
      <w:pPr>
        <w:pStyle w:val="Compact"/>
        <w:numPr>
          <w:ilvl w:val="2"/>
          <w:numId w:val="1028"/>
        </w:numPr>
      </w:pPr>
      <w:r>
        <w:rPr>
          <w:rStyle w:val="VerbatimChar"/>
        </w:rPr>
        <w:t xml:space="preserve">table_type</w:t>
      </w:r>
      <w:r>
        <w:t xml:space="preserve">:</w:t>
      </w:r>
      <w:r>
        <w:t xml:space="preserve"> </w:t>
      </w:r>
      <w:r>
        <w:t xml:space="preserve">“table”</w:t>
      </w:r>
      <w:r>
        <w:t xml:space="preserve">,</w:t>
      </w:r>
      <w:r>
        <w:t xml:space="preserve"> </w:t>
      </w:r>
      <w:r>
        <w:t xml:space="preserve">“view”</w:t>
      </w:r>
      <w:r>
        <w:t xml:space="preserve">, or</w:t>
      </w:r>
      <w:r>
        <w:t xml:space="preserve"> </w:t>
      </w:r>
      <w:r>
        <w:t xml:space="preserve">“materialized view”</w:t>
      </w:r>
      <w:r>
        <w:t xml:space="preserve"> </w:t>
      </w:r>
      <w:r>
        <w:t xml:space="preserve">(none yet)</w:t>
      </w:r>
    </w:p>
    <w:p>
      <w:pPr>
        <w:pStyle w:val="Compact"/>
        <w:numPr>
          <w:ilvl w:val="2"/>
          <w:numId w:val="1028"/>
        </w:numPr>
      </w:pPr>
      <w:r>
        <w:rPr>
          <w:rStyle w:val="VerbatimChar"/>
        </w:rPr>
        <w:t xml:space="preserve">table</w:t>
      </w:r>
      <w:r>
        <w:t xml:space="preserve">: name of table</w:t>
      </w:r>
    </w:p>
    <w:p>
      <w:pPr>
        <w:pStyle w:val="Compact"/>
        <w:numPr>
          <w:ilvl w:val="2"/>
          <w:numId w:val="1028"/>
        </w:numPr>
      </w:pPr>
      <w:r>
        <w:rPr>
          <w:rStyle w:val="VerbatimChar"/>
        </w:rPr>
        <w:t xml:space="preserve">table_description</w:t>
      </w:r>
      <w:r>
        <w:t xml:space="preserve">: description of table (possibly in markdown)</w:t>
      </w:r>
    </w:p>
    <w:p>
      <w:pPr>
        <w:pStyle w:val="Compact"/>
        <w:numPr>
          <w:ilvl w:val="1"/>
          <w:numId w:val="1027"/>
        </w:numPr>
      </w:pPr>
      <w:hyperlink r:id="rId125">
        <w:r>
          <w:rPr>
            <w:rStyle w:val="Hyperlink"/>
          </w:rPr>
          <w:t xml:space="preserve">api.calcofi.io</w:t>
        </w:r>
        <w:r>
          <w:rPr>
            <w:rStyle w:val="VerbatimChar"/>
          </w:rPr>
          <w:t xml:space="preserve">/db_columns</w:t>
        </w:r>
      </w:hyperlink>
      <w:r>
        <w:br/>
      </w:r>
      <w:r>
        <w:t xml:space="preserve">fields:</w:t>
      </w:r>
      <w:r>
        <w:br/>
      </w:r>
    </w:p>
    <w:p>
      <w:pPr>
        <w:pStyle w:val="Compact"/>
        <w:numPr>
          <w:ilvl w:val="2"/>
          <w:numId w:val="1029"/>
        </w:numPr>
      </w:pPr>
      <w:r>
        <w:rPr>
          <w:rStyle w:val="VerbatimChar"/>
        </w:rPr>
        <w:t xml:space="preserve">schema</w:t>
      </w:r>
      <w:r>
        <w:t xml:space="preserve">: (only</w:t>
      </w:r>
      <w:r>
        <w:t xml:space="preserve"> </w:t>
      </w:r>
      <w:r>
        <w:t xml:space="preserve">“public”</w:t>
      </w:r>
      <w:r>
        <w:t xml:space="preserve"> </w:t>
      </w:r>
      <w:r>
        <w:t xml:space="preserve">so far)</w:t>
      </w:r>
    </w:p>
    <w:p>
      <w:pPr>
        <w:pStyle w:val="Compact"/>
        <w:numPr>
          <w:ilvl w:val="2"/>
          <w:numId w:val="1029"/>
        </w:numPr>
      </w:pPr>
      <w:r>
        <w:rPr>
          <w:rStyle w:val="VerbatimChar"/>
        </w:rPr>
        <w:t xml:space="preserve">table_type</w:t>
      </w:r>
      <w:r>
        <w:t xml:space="preserve">:</w:t>
      </w:r>
      <w:r>
        <w:t xml:space="preserve"> </w:t>
      </w:r>
      <w:r>
        <w:t xml:space="preserve">“table”</w:t>
      </w:r>
      <w:r>
        <w:t xml:space="preserve">,</w:t>
      </w:r>
      <w:r>
        <w:t xml:space="preserve"> </w:t>
      </w:r>
      <w:r>
        <w:t xml:space="preserve">“view”</w:t>
      </w:r>
      <w:r>
        <w:t xml:space="preserve">, or</w:t>
      </w:r>
      <w:r>
        <w:t xml:space="preserve"> </w:t>
      </w:r>
      <w:r>
        <w:t xml:space="preserve">“materialized view”</w:t>
      </w:r>
      <w:r>
        <w:t xml:space="preserve"> </w:t>
      </w:r>
      <w:r>
        <w:t xml:space="preserve">(none yet)</w:t>
      </w:r>
    </w:p>
    <w:p>
      <w:pPr>
        <w:pStyle w:val="Compact"/>
        <w:numPr>
          <w:ilvl w:val="2"/>
          <w:numId w:val="1029"/>
        </w:numPr>
      </w:pPr>
      <w:r>
        <w:rPr>
          <w:rStyle w:val="VerbatimChar"/>
        </w:rPr>
        <w:t xml:space="preserve">table</w:t>
      </w:r>
      <w:r>
        <w:t xml:space="preserve">: name of table</w:t>
      </w:r>
    </w:p>
    <w:p>
      <w:pPr>
        <w:pStyle w:val="Compact"/>
        <w:numPr>
          <w:ilvl w:val="2"/>
          <w:numId w:val="1029"/>
        </w:numPr>
      </w:pPr>
      <w:r>
        <w:rPr>
          <w:rStyle w:val="VerbatimChar"/>
        </w:rPr>
        <w:t xml:space="preserve">column</w:t>
      </w:r>
      <w:r>
        <w:t xml:space="preserve">: name of column</w:t>
      </w:r>
    </w:p>
    <w:p>
      <w:pPr>
        <w:pStyle w:val="Compact"/>
        <w:numPr>
          <w:ilvl w:val="2"/>
          <w:numId w:val="1029"/>
        </w:numPr>
      </w:pPr>
      <w:r>
        <w:rPr>
          <w:rStyle w:val="VerbatimChar"/>
        </w:rPr>
        <w:t xml:space="preserve">column_type</w:t>
      </w:r>
      <w:r>
        <w:t xml:space="preserve">: data type of column</w:t>
      </w:r>
    </w:p>
    <w:p>
      <w:pPr>
        <w:pStyle w:val="Compact"/>
        <w:numPr>
          <w:ilvl w:val="2"/>
          <w:numId w:val="1029"/>
        </w:numPr>
      </w:pPr>
      <w:r>
        <w:rPr>
          <w:rStyle w:val="VerbatimChar"/>
        </w:rPr>
        <w:t xml:space="preserve">column_description</w:t>
      </w:r>
      <w:r>
        <w:t xml:space="preserve">: description of column (possibly in markdown)</w:t>
      </w:r>
    </w:p>
    <w:p>
      <w:pPr>
        <w:pStyle w:val="Compact"/>
        <w:numPr>
          <w:ilvl w:val="0"/>
          <w:numId w:val="1026"/>
        </w:numPr>
      </w:pPr>
      <w:r>
        <w:t xml:space="preserve">Fetch and display these descriptions into an interactive table with</w:t>
      </w:r>
      <w:r>
        <w:t xml:space="preserve"> </w:t>
      </w:r>
      <w:hyperlink r:id="rId115">
        <w:r>
          <w:rPr>
            <w:rStyle w:val="VerbatimChar"/>
          </w:rPr>
          <w:t xml:space="preserve">calcofi4r::</w:t>
        </w:r>
        <w:r>
          <w:rPr>
            <w:rStyle w:val="VerbatimChar"/>
            <w:b/>
            <w:bCs/>
          </w:rPr>
          <w:t xml:space="preserve">cc_db_catalog()</w:t>
        </w:r>
      </w:hyperlink>
      <w:r>
        <w:t xml:space="preserve">.</w:t>
      </w:r>
    </w:p>
    <w:bookmarkEnd w:id="126"/>
    <w:bookmarkEnd w:id="127"/>
    <w:bookmarkStart w:id="129" w:name="relationships-between-tables"/>
    <w:p>
      <w:pPr>
        <w:pStyle w:val="Heading2"/>
      </w:pPr>
      <w:r>
        <w:t xml:space="preserve">6.4 Relationships between tables</w:t>
      </w:r>
    </w:p>
    <w:p>
      <w:pPr>
        <w:numPr>
          <w:ilvl w:val="0"/>
          <w:numId w:val="1030"/>
        </w:numPr>
      </w:pPr>
      <w:r>
        <w:t xml:space="preserve">See</w:t>
      </w:r>
      <w:r>
        <w:t xml:space="preserve"> </w:t>
      </w:r>
      <w:hyperlink r:id="rId128">
        <w:r>
          <w:rPr>
            <w:rStyle w:val="Hyperlink"/>
          </w:rPr>
          <w:t xml:space="preserve">calcofi/workflows:</w:t>
        </w:r>
        <w:r>
          <w:rPr>
            <w:rStyle w:val="Hyperlink"/>
          </w:rPr>
          <w:t xml:space="preserve"> </w:t>
        </w:r>
        <w:r>
          <w:rPr>
            <w:rStyle w:val="Hyperlink"/>
            <w:b/>
            <w:bCs/>
          </w:rPr>
          <w:t xml:space="preserve">clean_db</w:t>
        </w:r>
      </w:hyperlink>
      <w:r>
        <w:br/>
      </w:r>
    </w:p>
    <w:p>
      <w:pPr>
        <w:numPr>
          <w:ilvl w:val="0"/>
          <w:numId w:val="1030"/>
        </w:numPr>
      </w:pPr>
      <w:r>
        <w:rPr>
          <w:rStyle w:val="VerbatimChar"/>
        </w:rPr>
        <w:t xml:space="preserve">TODO:</w:t>
      </w:r>
      <w:r>
        <w:t xml:space="preserve"> </w:t>
      </w:r>
      <w:r>
        <w:t xml:space="preserve">add calcofi/apps: db to show latest tables, columns and relationsips</w:t>
      </w:r>
    </w:p>
    <w:bookmarkEnd w:id="129"/>
    <w:bookmarkStart w:id="131" w:name="spatial-tips"/>
    <w:p>
      <w:pPr>
        <w:pStyle w:val="Heading2"/>
      </w:pPr>
      <w:r>
        <w:t xml:space="preserve">6.5 Spatial Tips</w:t>
      </w:r>
    </w:p>
    <w:p>
      <w:pPr>
        <w:pStyle w:val="Compact"/>
        <w:numPr>
          <w:ilvl w:val="0"/>
          <w:numId w:val="1031"/>
        </w:numPr>
      </w:pPr>
      <w:r>
        <w:t xml:space="preserve">Use</w:t>
      </w:r>
      <w:r>
        <w:t xml:space="preserve"> </w:t>
      </w:r>
      <w:hyperlink r:id="rId130">
        <w:r>
          <w:rPr>
            <w:rStyle w:val="VerbatimChar"/>
          </w:rPr>
          <w:t xml:space="preserve">ST_Subdivide()</w:t>
        </w:r>
      </w:hyperlink>
      <w:r>
        <w:t xml:space="preserve"> </w:t>
      </w:r>
      <w:r>
        <w:t xml:space="preserve">when running spatial joins on large polygons.</w:t>
      </w:r>
    </w:p>
    <w:bookmarkEnd w:id="131"/>
    <w:bookmarkEnd w:id="132"/>
    <w:bookmarkStart w:id="172" w:name="portals"/>
    <w:p>
      <w:pPr>
        <w:pStyle w:val="Heading1"/>
      </w:pPr>
      <w:r>
        <w:t xml:space="preserve">7. Portals</w:t>
      </w:r>
    </w:p>
    <w:bookmarkStart w:id="133" w:name="overview-2"/>
    <w:p>
      <w:pPr>
        <w:pStyle w:val="Heading2"/>
      </w:pPr>
      <w:r>
        <w:t xml:space="preserve">7.1 Overview</w:t>
      </w:r>
    </w:p>
    <w:p>
      <w:pPr>
        <w:pStyle w:val="FirstParagraph"/>
      </w:pPr>
      <w:r>
        <w:t xml:space="preserve">CalCOFI data is available through various portals, each serving different purposes and user needs. This document outlines the main access points and their characteristics.</w:t>
      </w:r>
    </w:p>
    <w:bookmarkEnd w:id="133"/>
    <w:bookmarkStart w:id="138" w:name="data-flow"/>
    <w:p>
      <w:pPr>
        <w:pStyle w:val="Heading2"/>
      </w:pPr>
      <w:r>
        <w:t xml:space="preserve">7.2 Data Flow</w:t>
      </w:r>
    </w:p>
    <w:p>
      <w:pPr>
        <w:pStyle w:val="FirstParagraph"/>
      </w:pPr>
      <w:r>
        <w:t xml:space="preserve">While it would be ideal for CalCOFI data to be available through a single portal, each portal has its strengths and limitations. The following diagram illustrates one possible realization of data flow between CalCOFI data and the portals: from raw data to the integrated database to portals and meta-portals.</w:t>
      </w:r>
    </w:p>
    <w:tbl>
      <w:tblPr>
        <w:tblStyle w:val="Table"/>
        <w:tblW w:type="pct" w:w="5000"/>
        <w:tblLayout w:type="fixed"/>
        <w:tblLook w:firstRow="0" w:lastRow="0" w:firstColumn="0" w:lastColumn="0" w:noHBand="0" w:noVBand="0" w:val="0000"/>
      </w:tblPr>
      <w:tblGrid>
        <w:gridCol w:w="7920"/>
      </w:tblGrid>
      <w:tr>
        <w:tc>
          <w:tcPr/>
          <w:bookmarkStart w:id="137" w:name="fig-portals-flow"/>
          <w:p>
            <w:pPr>
              <w:jc w:val="center"/>
            </w:pPr>
            <w:r>
              <w:drawing>
                <wp:inline>
                  <wp:extent cx="5334000" cy="9583420"/>
                  <wp:effectExtent b="0" l="0" r="0" t="0"/>
                  <wp:docPr descr="" title="" id="135" name="Picture"/>
                  <a:graphic>
                    <a:graphicData uri="http://schemas.openxmlformats.org/drawingml/2006/picture">
                      <pic:pic>
                        <pic:nvPicPr>
                          <pic:cNvPr descr="portals_files/figure-docx/mermaid-figure-1.png" id="136" name="Picture"/>
                          <pic:cNvPicPr>
                            <a:picLocks noChangeArrowheads="1" noChangeAspect="1"/>
                          </pic:cNvPicPr>
                        </pic:nvPicPr>
                        <pic:blipFill>
                          <a:blip r:embed="rId134"/>
                          <a:stretch>
                            <a:fillRect/>
                          </a:stretch>
                        </pic:blipFill>
                        <pic:spPr bwMode="auto">
                          <a:xfrm>
                            <a:off x="0" y="0"/>
                            <a:ext cx="5334000" cy="9583420"/>
                          </a:xfrm>
                          <a:prstGeom prst="rect">
                            <a:avLst/>
                          </a:prstGeom>
                          <a:noFill/>
                          <a:ln w="9525">
                            <a:noFill/>
                            <a:headEnd/>
                            <a:tailEnd/>
                          </a:ln>
                        </pic:spPr>
                      </pic:pic>
                    </a:graphicData>
                  </a:graphic>
                </wp:inline>
              </w:drawing>
            </w:r>
          </w:p>
          <w:p>
            <w:pPr>
              <w:jc w:val="center"/>
            </w:pPr>
            <w:pPr>
              <w:jc w:val="left"/>
              <w:spacing w:before="200"/>
              <w:pStyle w:val="ImageCaption"/>
            </w:pPr>
            <w:r>
              <w:t xml:space="preserve">Figure 7.1: Flow of data from raw to database to portals and meta-portals.</w:t>
            </w:r>
          </w:p>
          <w:bookmarkEnd w:id="137"/>
        </w:tc>
      </w:tr>
    </w:tbl>
    <w:p>
      <w:pPr>
        <w:pStyle w:val="BodyText"/>
      </w:pPr>
      <w:r>
        <w:t xml:space="preserve">In practice, CalCOFI is a partnership with various contributing members, so the authoritative dataset might flow differently, such as from EDI to the database to the other portals. The other portals, such as OBIS or ERDDAP, serve different audiences or purposes. The meta-portals like ODIS and Data.gov then index these portals to provide broader discovery of CalCOFI datasets.</w:t>
      </w:r>
    </w:p>
    <w:bookmarkEnd w:id="138"/>
    <w:bookmarkStart w:id="153" w:name="portals-1"/>
    <w:p>
      <w:pPr>
        <w:pStyle w:val="Heading2"/>
      </w:pPr>
      <w:r>
        <w:t xml:space="preserve">7.3 Portals</w:t>
      </w:r>
    </w:p>
    <w:p>
      <w:pPr>
        <w:pStyle w:val="FirstParagraph"/>
      </w:pPr>
      <w:r>
        <w:t xml:space="preserve">While some portals serve as data repositories, others provide advanced data access and visualization tools. The following sections describe the main portals where CalCOFI data is available and their key features.</w:t>
      </w:r>
    </w:p>
    <w:tbl>
      <w:tblPr>
        <w:tblStyle w:val="Table"/>
        <w:tblW w:type="pct" w:w="5000"/>
        <w:tblLayout w:type="fixed"/>
        <w:tblLook w:firstRow="0" w:lastRow="0" w:firstColumn="0" w:lastColumn="0" w:noHBand="0" w:noVBand="0" w:val="0000"/>
      </w:tblPr>
      <w:tblGrid>
        <w:gridCol w:w="7920"/>
      </w:tblGrid>
      <w:tr>
        <w:tc>
          <w:tcPr/>
          <w:bookmarkStart w:id="139" w:name="tbl-portals"/>
          <w:p>
            <w:pPr>
              <w:jc w:val="center"/>
            </w:pPr>
            <w:pPr>
              <w:jc w:val="left"/>
              <w:spacing w:before="200"/>
              <w:pStyle w:val="ImageCaption"/>
            </w:pPr>
            <w:r>
              <w:t xml:space="preserve">Table 7.1: Portal Capabilities.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Full Archive</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Versioning</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DOI Issued</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Query by xyt</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Query by taxa</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Multiple formats</w:t>
                  </w:r>
                </w:p>
              </w:tc>
              <w:tc>
                <w:tcPr>
                  <w:tcBorders>
                    <w:top w:val="single" w:sz="16" w:space="0" w:color="D3D3D3"/>
                    <w:bottom w:val="single" w:sz="16" w:space="0" w:color="D3D3D3"/>
                    <w:end w:val="single" w:space="0" w:color="D3D3D3"/>
                  </w:tcBorders>
                </w:tcPr>
                <w:p>
                  <w:pPr>
                    <w:spacing w:before="0" w:after="60"/>
                    <w:keepNext/>
                    <w:jc w:val="center"/>
                  </w:pPr>
                  <w:r>
                    <w:rPr>
                      <w:rFonts w:ascii="Calibri" w:hAnsi="Calibri"/>
                      <w:sz w:val="20"/>
                    </w:rPr>
                    <w:t xml:space="default">API Access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EDI</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CC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NCEI</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CC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CC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CC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OBIS</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ERDDAP</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CC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CC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FFF2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c>
                <w:tcPr>
                  <w:tcBorders>
                    <w:top w:val="single" w:space="0" w:color="D3D3D3"/>
                    <w:bottom w:val="single" w:space="0" w:color="D3D3D3"/>
                    <w:start w:val="single" w:space="0" w:color="D3D3D3"/>
                    <w:end w:val="single" w:space="0" w:color="D3D3D3"/>
                  </w:tcBorders>
                  <w:shd w:val="clear" w:color="auto" w:fill="CCFFCC"/>
                </w:tcPr>
                <w:p>
                  <w:pPr>
                    <w:spacing w:before="0" w:after="60"/>
                    <w:keepNext/>
                    <w:jc w:val="center"/>
                  </w:pPr>
                  <w:r>
                    <w:rPr>
                      <w:rFonts w:ascii="Calibri" w:hAnsi="Calibri"/>
                      <w:sz w:val="20"/>
                      <w:color w:val="000000"/>
                    </w:rPr>
                    <w:t xml:space="default">✔</w:t>
                  </w:r>
                </w:p>
              </w:tc>
            </w:tr>
            <w:tr>
              <w:trPr>
                <w:cantSplit/>
              </w:trPr>
              <w:tc>
                <w:tcPr>
                  <w:gridSpan w:val="8"/>
                </w:tcPr>
                <w:p>
                  <w:pPr>
                    <w:spacing w:before="0" w:after="60"/>
                    <w:keepNext/>
                  </w:pPr>
                  <w:r>
                    <w:rPr>
                      <w:b w:val="true"/>
                      <w:rFonts w:ascii="Calibri" w:hAnsi="Calibri"/>
                      <w:sz w:val="20"/>
                    </w:rPr>
                    <w:t xml:space="preserve">Capability Legend</w:t>
                  </w:r>
                  <w:r>
                    <w:rPr>
                      <w:rFonts w:ascii="Calibri" w:hAnsi="Calibri"/>
                      <w:sz w:val="20"/>
                    </w:rPr>
                    <w:t xml:space="preserve">: ✔ = full, ▲ = partial, ✖ = none</w:t>
                  </w:r>
                </w:p>
              </w:tc>
            </w:tr>
          </w:tbl>
          <w:bookmarkEnd w:id="139"/>
        </w:tc>
      </w:tr>
    </w:tbl>
    <w:bookmarkStart w:id="142" w:name="edi"/>
    <w:p>
      <w:pPr>
        <w:pStyle w:val="Heading3"/>
      </w:pPr>
      <w:r>
        <w:t xml:space="preserve">7.3.1 EDI</w:t>
      </w:r>
    </w:p>
    <w:p>
      <w:pPr>
        <w:pStyle w:val="FirstParagraph"/>
      </w:pPr>
      <w:r>
        <w:rPr>
          <w:b/>
          <w:bCs/>
        </w:rPr>
        <w:t xml:space="preserve">Environmental Data Initiative</w:t>
      </w:r>
    </w:p>
    <w:p>
      <w:pPr>
        <w:pStyle w:val="Compact"/>
        <w:numPr>
          <w:ilvl w:val="0"/>
          <w:numId w:val="1032"/>
        </w:numPr>
      </w:pPr>
      <w:r>
        <w:t xml:space="preserve">Complete dataset archives using DataOne software and EML metadata</w:t>
      </w:r>
    </w:p>
    <w:p>
      <w:pPr>
        <w:pStyle w:val="Compact"/>
        <w:numPr>
          <w:ilvl w:val="0"/>
          <w:numId w:val="1032"/>
        </w:numPr>
      </w:pPr>
      <w:r>
        <w:t xml:space="preserve">DOIs issued for all datasets ensuring citability</w:t>
      </w:r>
    </w:p>
    <w:p>
      <w:pPr>
        <w:pStyle w:val="Compact"/>
        <w:numPr>
          <w:ilvl w:val="0"/>
          <w:numId w:val="1032"/>
        </w:numPr>
      </w:pPr>
      <w:r>
        <w:t xml:space="preserve">Full archive allowing for any data file types</w:t>
      </w:r>
    </w:p>
    <w:p>
      <w:pPr>
        <w:pStyle w:val="Compact"/>
        <w:numPr>
          <w:ilvl w:val="0"/>
          <w:numId w:val="1032"/>
        </w:numPr>
      </w:pPr>
      <w:r>
        <w:t xml:space="preserve">Basic spatial and temporal filtering through web interface</w:t>
      </w:r>
    </w:p>
    <w:p>
      <w:pPr>
        <w:pStyle w:val="Compact"/>
        <w:numPr>
          <w:ilvl w:val="0"/>
          <w:numId w:val="1032"/>
        </w:numPr>
      </w:pPr>
      <w:r>
        <w:t xml:space="preserve">Download in original formats with metadata</w:t>
      </w:r>
    </w:p>
    <w:p>
      <w:pPr>
        <w:pStyle w:val="Compact"/>
        <w:numPr>
          <w:ilvl w:val="0"/>
          <w:numId w:val="1032"/>
        </w:numPr>
      </w:pPr>
      <w:r>
        <w:t xml:space="preserve">Access through DataOne API</w:t>
      </w:r>
    </w:p>
    <w:p>
      <w:pPr>
        <w:pStyle w:val="Compact"/>
        <w:numPr>
          <w:ilvl w:val="0"/>
          <w:numId w:val="1032"/>
        </w:numPr>
      </w:pPr>
      <w:r>
        <w:t xml:space="preserve">Links:</w:t>
      </w:r>
    </w:p>
    <w:p>
      <w:pPr>
        <w:pStyle w:val="Compact"/>
        <w:numPr>
          <w:ilvl w:val="1"/>
          <w:numId w:val="1033"/>
        </w:numPr>
      </w:pPr>
      <w:hyperlink r:id="rId140">
        <w:r>
          <w:rPr>
            <w:rStyle w:val="Hyperlink"/>
          </w:rPr>
          <w:t xml:space="preserve">EDIrepository.org</w:t>
        </w:r>
      </w:hyperlink>
    </w:p>
    <w:p>
      <w:pPr>
        <w:pStyle w:val="Compact"/>
        <w:numPr>
          <w:ilvl w:val="1"/>
          <w:numId w:val="1033"/>
        </w:numPr>
      </w:pPr>
      <w:r>
        <w:t xml:space="preserve">CalCOFI datasets:</w:t>
      </w:r>
      <w:r>
        <w:t xml:space="preserve"> </w:t>
      </w:r>
      <w:hyperlink r:id="rId141">
        <w:r>
          <w:rPr>
            <w:rStyle w:val="Hyperlink"/>
          </w:rPr>
          <w:t xml:space="preserve">EDI query</w:t>
        </w:r>
        <w:r>
          <w:rPr>
            <w:rStyle w:val="Hyperlink"/>
          </w:rPr>
          <w:t xml:space="preserve"> </w:t>
        </w:r>
        <w:r>
          <w:rPr>
            <w:rStyle w:val="Hyperlink"/>
          </w:rPr>
          <w:t xml:space="preserve">“CalCOFI”</w:t>
        </w:r>
      </w:hyperlink>
    </w:p>
    <w:bookmarkEnd w:id="142"/>
    <w:bookmarkStart w:id="145" w:name="ncei"/>
    <w:p>
      <w:pPr>
        <w:pStyle w:val="Heading3"/>
      </w:pPr>
      <w:r>
        <w:t xml:space="preserve">7.3.2 NCEI</w:t>
      </w:r>
    </w:p>
    <w:p>
      <w:pPr>
        <w:pStyle w:val="FirstParagraph"/>
      </w:pPr>
      <w:r>
        <w:rPr>
          <w:b/>
          <w:bCs/>
        </w:rPr>
        <w:t xml:space="preserve">National Centers for Environmental Information</w:t>
      </w:r>
    </w:p>
    <w:p>
      <w:pPr>
        <w:pStyle w:val="Compact"/>
        <w:numPr>
          <w:ilvl w:val="0"/>
          <w:numId w:val="1034"/>
        </w:numPr>
      </w:pPr>
      <w:r>
        <w:t xml:space="preserve">Long-term archival of oceanographic data</w:t>
      </w:r>
    </w:p>
    <w:p>
      <w:pPr>
        <w:pStyle w:val="Compact"/>
        <w:numPr>
          <w:ilvl w:val="0"/>
          <w:numId w:val="1034"/>
        </w:numPr>
      </w:pPr>
      <w:r>
        <w:t xml:space="preserve">DOIs issued for dataset submissions</w:t>
      </w:r>
    </w:p>
    <w:p>
      <w:pPr>
        <w:pStyle w:val="Compact"/>
        <w:numPr>
          <w:ilvl w:val="0"/>
          <w:numId w:val="1034"/>
        </w:numPr>
      </w:pPr>
      <w:r>
        <w:t xml:space="preserve">Standardized metadata using ISO 19115-2</w:t>
      </w:r>
    </w:p>
    <w:p>
      <w:pPr>
        <w:pStyle w:val="Compact"/>
        <w:numPr>
          <w:ilvl w:val="0"/>
          <w:numId w:val="1034"/>
        </w:numPr>
      </w:pPr>
      <w:r>
        <w:t xml:space="preserve">Basic search interface with geographic and temporal filtering</w:t>
      </w:r>
    </w:p>
    <w:p>
      <w:pPr>
        <w:pStyle w:val="Compact"/>
        <w:numPr>
          <w:ilvl w:val="0"/>
          <w:numId w:val="1034"/>
        </w:numPr>
      </w:pPr>
      <w:r>
        <w:t xml:space="preserve">Data preserved in original submission formats</w:t>
      </w:r>
    </w:p>
    <w:p>
      <w:pPr>
        <w:pStyle w:val="Compact"/>
        <w:numPr>
          <w:ilvl w:val="0"/>
          <w:numId w:val="1034"/>
        </w:numPr>
      </w:pPr>
      <w:r>
        <w:t xml:space="preserve">Access through NCEI API services</w:t>
      </w:r>
    </w:p>
    <w:p>
      <w:pPr>
        <w:pStyle w:val="Compact"/>
        <w:numPr>
          <w:ilvl w:val="0"/>
          <w:numId w:val="1034"/>
        </w:numPr>
      </w:pPr>
      <w:r>
        <w:t xml:space="preserve">Links:</w:t>
      </w:r>
    </w:p>
    <w:p>
      <w:pPr>
        <w:pStyle w:val="Compact"/>
        <w:numPr>
          <w:ilvl w:val="1"/>
          <w:numId w:val="1035"/>
        </w:numPr>
      </w:pPr>
      <w:hyperlink r:id="rId143">
        <w:r>
          <w:rPr>
            <w:rStyle w:val="Hyperlink"/>
          </w:rPr>
          <w:t xml:space="preserve">NCEI Ocean Archive</w:t>
        </w:r>
      </w:hyperlink>
    </w:p>
    <w:p>
      <w:pPr>
        <w:pStyle w:val="Compact"/>
        <w:numPr>
          <w:ilvl w:val="1"/>
          <w:numId w:val="1035"/>
        </w:numPr>
      </w:pPr>
      <w:r>
        <w:t xml:space="preserve">CalCOFI datasets:</w:t>
      </w:r>
      <w:r>
        <w:t xml:space="preserve"> </w:t>
      </w:r>
      <w:hyperlink r:id="rId144">
        <w:r>
          <w:rPr>
            <w:rStyle w:val="Hyperlink"/>
          </w:rPr>
          <w:t xml:space="preserve">NCEI search</w:t>
        </w:r>
        <w:r>
          <w:rPr>
            <w:rStyle w:val="Hyperlink"/>
          </w:rPr>
          <w:t xml:space="preserve"> </w:t>
        </w:r>
        <w:r>
          <w:rPr>
            <w:rStyle w:val="Hyperlink"/>
          </w:rPr>
          <w:t xml:space="preserve">“CalCOFI”</w:t>
        </w:r>
      </w:hyperlink>
    </w:p>
    <w:bookmarkEnd w:id="145"/>
    <w:bookmarkStart w:id="148" w:name="obis"/>
    <w:p>
      <w:pPr>
        <w:pStyle w:val="Heading3"/>
      </w:pPr>
      <w:r>
        <w:t xml:space="preserve">7.3.3 OBIS</w:t>
      </w:r>
    </w:p>
    <w:p>
      <w:pPr>
        <w:pStyle w:val="FirstParagraph"/>
      </w:pPr>
      <w:r>
        <w:rPr>
          <w:b/>
          <w:bCs/>
        </w:rPr>
        <w:t xml:space="preserve">Ocean Biodiversity Information System</w:t>
      </w:r>
    </w:p>
    <w:p>
      <w:pPr>
        <w:pStyle w:val="Compact"/>
        <w:numPr>
          <w:ilvl w:val="0"/>
          <w:numId w:val="1036"/>
        </w:numPr>
      </w:pPr>
      <w:r>
        <w:t xml:space="preserve">Specialized in marine biodiversity data</w:t>
      </w:r>
    </w:p>
    <w:p>
      <w:pPr>
        <w:pStyle w:val="Compact"/>
        <w:numPr>
          <w:ilvl w:val="0"/>
          <w:numId w:val="1036"/>
        </w:numPr>
      </w:pPr>
      <w:r>
        <w:t xml:space="preserve">Standardized using DarwinCore fields</w:t>
      </w:r>
    </w:p>
    <w:p>
      <w:pPr>
        <w:pStyle w:val="Compact"/>
        <w:numPr>
          <w:ilvl w:val="0"/>
          <w:numId w:val="1036"/>
        </w:numPr>
      </w:pPr>
      <w:r>
        <w:t xml:space="preserve">Extended measurements supported via</w:t>
      </w:r>
      <w:r>
        <w:t xml:space="preserve"> </w:t>
      </w:r>
      <w:hyperlink r:id="rId146">
        <w:r>
          <w:rPr>
            <w:rStyle w:val="Hyperlink"/>
          </w:rPr>
          <w:t xml:space="preserve">extendedMeasurementOrFact</w:t>
        </w:r>
      </w:hyperlink>
    </w:p>
    <w:p>
      <w:pPr>
        <w:pStyle w:val="Compact"/>
        <w:numPr>
          <w:ilvl w:val="0"/>
          <w:numId w:val="1036"/>
        </w:numPr>
      </w:pPr>
      <w:r>
        <w:t xml:space="preserve">Powerful filtering by space, time, and taxonomic parameters</w:t>
      </w:r>
    </w:p>
    <w:p>
      <w:pPr>
        <w:pStyle w:val="Compact"/>
        <w:numPr>
          <w:ilvl w:val="0"/>
          <w:numId w:val="1036"/>
        </w:numPr>
      </w:pPr>
      <w:r>
        <w:t xml:space="preserve">Multiple download formats (CSV, JSON, Darwin Core Archive)</w:t>
      </w:r>
    </w:p>
    <w:p>
      <w:pPr>
        <w:pStyle w:val="Compact"/>
        <w:numPr>
          <w:ilvl w:val="0"/>
          <w:numId w:val="1036"/>
        </w:numPr>
      </w:pPr>
      <w:r>
        <w:t xml:space="preserve">Full REST API access</w:t>
      </w:r>
    </w:p>
    <w:p>
      <w:pPr>
        <w:pStyle w:val="Compact"/>
        <w:numPr>
          <w:ilvl w:val="0"/>
          <w:numId w:val="1036"/>
        </w:numPr>
      </w:pPr>
      <w:r>
        <w:t xml:space="preserve">Links:</w:t>
      </w:r>
    </w:p>
    <w:p>
      <w:pPr>
        <w:pStyle w:val="Compact"/>
        <w:numPr>
          <w:ilvl w:val="1"/>
          <w:numId w:val="1037"/>
        </w:numPr>
      </w:pPr>
      <w:hyperlink r:id="rId18">
        <w:r>
          <w:rPr>
            <w:rStyle w:val="Hyperlink"/>
          </w:rPr>
          <w:t xml:space="preserve">OBIS.org</w:t>
        </w:r>
      </w:hyperlink>
    </w:p>
    <w:p>
      <w:pPr>
        <w:pStyle w:val="Compact"/>
        <w:numPr>
          <w:ilvl w:val="1"/>
          <w:numId w:val="1037"/>
        </w:numPr>
      </w:pPr>
      <w:r>
        <w:t xml:space="preserve">CalCOFI datasets:</w:t>
      </w:r>
      <w:r>
        <w:t xml:space="preserve"> </w:t>
      </w:r>
      <w:hyperlink r:id="rId147">
        <w:r>
          <w:rPr>
            <w:rStyle w:val="Hyperlink"/>
          </w:rPr>
          <w:t xml:space="preserve">obis.org/dataset</w:t>
        </w:r>
      </w:hyperlink>
      <w:r>
        <w:t xml:space="preserve"> </w:t>
      </w:r>
      <w:r>
        <w:t xml:space="preserve">+</w:t>
      </w:r>
      <w:r>
        <w:t xml:space="preserve"> </w:t>
      </w:r>
      <w:r>
        <w:t xml:space="preserve">“calcofi”</w:t>
      </w:r>
      <w:r>
        <w:t xml:space="preserve"> </w:t>
      </w:r>
      <w:r>
        <w:t xml:space="preserve">Keyword</w:t>
      </w:r>
    </w:p>
    <w:bookmarkEnd w:id="148"/>
    <w:bookmarkStart w:id="152" w:name="erddap"/>
    <w:p>
      <w:pPr>
        <w:pStyle w:val="Heading3"/>
      </w:pPr>
      <w:r>
        <w:t xml:space="preserve">7.3.4 ERDDAP</w:t>
      </w:r>
    </w:p>
    <w:p>
      <w:pPr>
        <w:pStyle w:val="FirstParagraph"/>
      </w:pPr>
      <w:r>
        <w:rPr>
          <w:b/>
          <w:bCs/>
        </w:rPr>
        <w:t xml:space="preserve">Environmental Research Division Data Access Program</w:t>
      </w:r>
    </w:p>
    <w:p>
      <w:pPr>
        <w:pStyle w:val="Compact"/>
        <w:numPr>
          <w:ilvl w:val="0"/>
          <w:numId w:val="1038"/>
        </w:numPr>
      </w:pPr>
      <w:r>
        <w:t xml:space="preserve">Tabular and gridded data server</w:t>
      </w:r>
    </w:p>
    <w:p>
      <w:pPr>
        <w:pStyle w:val="Compact"/>
        <w:numPr>
          <w:ilvl w:val="0"/>
          <w:numId w:val="1038"/>
        </w:numPr>
      </w:pPr>
      <w:r>
        <w:t xml:space="preserve">Advanced subsetting by space, time, and parameters</w:t>
      </w:r>
    </w:p>
    <w:p>
      <w:pPr>
        <w:pStyle w:val="Compact"/>
        <w:numPr>
          <w:ilvl w:val="0"/>
          <w:numId w:val="1038"/>
        </w:numPr>
      </w:pPr>
      <w:r>
        <w:t xml:space="preserve">Multiple output formats (CSV, JSON, NetCDF, etc.)</w:t>
      </w:r>
    </w:p>
    <w:p>
      <w:pPr>
        <w:pStyle w:val="Compact"/>
        <w:numPr>
          <w:ilvl w:val="0"/>
          <w:numId w:val="1038"/>
        </w:numPr>
      </w:pPr>
      <w:r>
        <w:t xml:space="preserve">RESTful API with direct data access</w:t>
      </w:r>
    </w:p>
    <w:p>
      <w:pPr>
        <w:pStyle w:val="Compact"/>
        <w:numPr>
          <w:ilvl w:val="0"/>
          <w:numId w:val="1038"/>
        </w:numPr>
      </w:pPr>
      <w:r>
        <w:t xml:space="preserve">Built-in data visualization tools</w:t>
      </w:r>
    </w:p>
    <w:p>
      <w:pPr>
        <w:pStyle w:val="Compact"/>
        <w:numPr>
          <w:ilvl w:val="0"/>
          <w:numId w:val="1038"/>
        </w:numPr>
      </w:pPr>
      <w:r>
        <w:t xml:space="preserve">No persistent identifiers but stable URLs</w:t>
      </w:r>
    </w:p>
    <w:p>
      <w:pPr>
        <w:pStyle w:val="Compact"/>
        <w:numPr>
          <w:ilvl w:val="0"/>
          <w:numId w:val="1038"/>
        </w:numPr>
      </w:pPr>
      <w:r>
        <w:t xml:space="preserve">Links:</w:t>
      </w:r>
    </w:p>
    <w:p>
      <w:pPr>
        <w:pStyle w:val="Compact"/>
        <w:numPr>
          <w:ilvl w:val="1"/>
          <w:numId w:val="1039"/>
        </w:numPr>
      </w:pPr>
      <w:hyperlink r:id="rId149">
        <w:r>
          <w:rPr>
            <w:rStyle w:val="Hyperlink"/>
          </w:rPr>
          <w:t xml:space="preserve">ERDDAP</w:t>
        </w:r>
      </w:hyperlink>
    </w:p>
    <w:p>
      <w:pPr>
        <w:pStyle w:val="Compact"/>
        <w:numPr>
          <w:ilvl w:val="1"/>
          <w:numId w:val="1039"/>
        </w:numPr>
      </w:pPr>
      <w:r>
        <w:t xml:space="preserve">CalCOFI datasets:</w:t>
      </w:r>
    </w:p>
    <w:p>
      <w:pPr>
        <w:pStyle w:val="Compact"/>
        <w:numPr>
          <w:ilvl w:val="2"/>
          <w:numId w:val="1040"/>
        </w:numPr>
      </w:pPr>
      <w:hyperlink r:id="rId150">
        <w:r>
          <w:rPr>
            <w:rStyle w:val="Hyperlink"/>
          </w:rPr>
          <w:t xml:space="preserve">ERDDAP, OceanView - CalCOFI seabirds</w:t>
        </w:r>
      </w:hyperlink>
    </w:p>
    <w:p>
      <w:pPr>
        <w:pStyle w:val="Compact"/>
        <w:numPr>
          <w:ilvl w:val="2"/>
          <w:numId w:val="1040"/>
        </w:numPr>
      </w:pPr>
      <w:hyperlink r:id="rId151">
        <w:r>
          <w:rPr>
            <w:rStyle w:val="Hyperlink"/>
          </w:rPr>
          <w:t xml:space="preserve">ERDDAP, CoastWatch - CalCOFI oceanographic</w:t>
        </w:r>
      </w:hyperlink>
    </w:p>
    <w:bookmarkEnd w:id="152"/>
    <w:bookmarkEnd w:id="153"/>
    <w:bookmarkStart w:id="159" w:name="metadata"/>
    <w:p>
      <w:pPr>
        <w:pStyle w:val="Heading2"/>
      </w:pPr>
      <w:r>
        <w:t xml:space="preserve">7.4 Metadata</w:t>
      </w:r>
    </w:p>
    <w:p>
      <w:pPr>
        <w:pStyle w:val="FirstParagraph"/>
      </w:pPr>
      <w:r>
        <w:t xml:space="preserve">The</w:t>
      </w:r>
      <w:r>
        <w:t xml:space="preserve"> </w:t>
      </w:r>
      <w:hyperlink r:id="rId154">
        <w:r>
          <w:rPr>
            <w:rStyle w:val="Hyperlink"/>
          </w:rPr>
          <w:t xml:space="preserve">Ecological Metadata Language (EML)</w:t>
        </w:r>
      </w:hyperlink>
      <w:r>
        <w:t xml:space="preserve"> </w:t>
      </w:r>
      <w:r>
        <w:t xml:space="preserve">(and using R package</w:t>
      </w:r>
      <w:r>
        <w:t xml:space="preserve"> </w:t>
      </w:r>
      <w:hyperlink r:id="rId118">
        <w:r>
          <w:rPr>
            <w:rStyle w:val="Hyperlink"/>
          </w:rPr>
          <w:t xml:space="preserve">EML</w:t>
        </w:r>
      </w:hyperlink>
      <w:r>
        <w:t xml:space="preserve"> </w:t>
      </w:r>
      <w:r>
        <w:t xml:space="preserve">in workflows) serves as a key standard for describing ecological and environmental data. For CalCOFI, EML metadata files are generated alongside data files, providing structured documentation that enables interoperability across different data portals. This metadata-driven approach allows automated ingestion into various data systems while maintaining data integrity and provenance.</w:t>
      </w:r>
    </w:p>
    <w:tbl>
      <w:tblPr>
        <w:tblStyle w:val="Table"/>
        <w:tblW w:type="pct" w:w="5000"/>
        <w:tblLayout w:type="fixed"/>
        <w:tblLook w:firstRow="0" w:lastRow="0" w:firstColumn="0" w:lastColumn="0" w:noHBand="0" w:noVBand="0" w:val="0000"/>
      </w:tblPr>
      <w:tblGrid>
        <w:gridCol w:w="7920"/>
      </w:tblGrid>
      <w:tr>
        <w:tc>
          <w:tcPr/>
          <w:bookmarkStart w:id="158" w:name="fig-portals-metadata"/>
          <w:p>
            <w:pPr>
              <w:jc w:val="center"/>
            </w:pPr>
            <w:r>
              <w:drawing>
                <wp:inline>
                  <wp:extent cx="5334000" cy="1858009"/>
                  <wp:effectExtent b="0" l="0" r="0" t="0"/>
                  <wp:docPr descr="" title="" id="156" name="Picture"/>
                  <a:graphic>
                    <a:graphicData uri="http://schemas.openxmlformats.org/drawingml/2006/picture">
                      <pic:pic>
                        <pic:nvPicPr>
                          <pic:cNvPr descr="portals_files/figure-docx/mermaid-figure-2.png" id="157" name="Picture"/>
                          <pic:cNvPicPr>
                            <a:picLocks noChangeArrowheads="1" noChangeAspect="1"/>
                          </pic:cNvPicPr>
                        </pic:nvPicPr>
                        <pic:blipFill>
                          <a:blip r:embed="rId155"/>
                          <a:stretch>
                            <a:fillRect/>
                          </a:stretch>
                        </pic:blipFill>
                        <pic:spPr bwMode="auto">
                          <a:xfrm>
                            <a:off x="0" y="0"/>
                            <a:ext cx="5334000" cy="1858009"/>
                          </a:xfrm>
                          <a:prstGeom prst="rect">
                            <a:avLst/>
                          </a:prstGeom>
                          <a:noFill/>
                          <a:ln w="9525">
                            <a:noFill/>
                            <a:headEnd/>
                            <a:tailEnd/>
                          </a:ln>
                        </pic:spPr>
                      </pic:pic>
                    </a:graphicData>
                  </a:graphic>
                </wp:inline>
              </w:drawing>
            </w:r>
          </w:p>
          <w:p>
            <w:pPr>
              <w:jc w:val="center"/>
            </w:pPr>
            <w:pPr>
              <w:jc w:val="left"/>
              <w:spacing w:before="200"/>
              <w:pStyle w:val="ImageCaption"/>
            </w:pPr>
            <w:r>
              <w:t xml:space="preserve">Figure 7.2: Metadata in the form of ecological metadata language (EML) is used to describe the dataset in a consistent manner that can be ingested by the portals.</w:t>
            </w:r>
          </w:p>
          <w:bookmarkEnd w:id="158"/>
        </w:tc>
      </w:tr>
    </w:tbl>
    <w:p>
      <w:pPr>
        <w:pStyle w:val="BodyText"/>
      </w:pPr>
      <w:r>
        <w:t xml:space="preserve">The EML specification provides detailed structure for describing datasets, including:</w:t>
      </w:r>
    </w:p>
    <w:p>
      <w:pPr>
        <w:pStyle w:val="Compact"/>
        <w:numPr>
          <w:ilvl w:val="0"/>
          <w:numId w:val="1041"/>
        </w:numPr>
      </w:pPr>
      <w:r>
        <w:t xml:space="preserve">Dataset identification and citation</w:t>
      </w:r>
    </w:p>
    <w:p>
      <w:pPr>
        <w:pStyle w:val="Compact"/>
        <w:numPr>
          <w:ilvl w:val="0"/>
          <w:numId w:val="1041"/>
        </w:numPr>
      </w:pPr>
      <w:r>
        <w:t xml:space="preserve">Geographic and temporal coverage</w:t>
      </w:r>
    </w:p>
    <w:p>
      <w:pPr>
        <w:pStyle w:val="Compact"/>
        <w:numPr>
          <w:ilvl w:val="0"/>
          <w:numId w:val="1041"/>
        </w:numPr>
      </w:pPr>
      <w:r>
        <w:t xml:space="preserve">Variable definitions and units</w:t>
      </w:r>
    </w:p>
    <w:p>
      <w:pPr>
        <w:pStyle w:val="Compact"/>
        <w:numPr>
          <w:ilvl w:val="0"/>
          <w:numId w:val="1041"/>
        </w:numPr>
      </w:pPr>
      <w:r>
        <w:t xml:space="preserve">Methods and protocols</w:t>
      </w:r>
    </w:p>
    <w:p>
      <w:pPr>
        <w:pStyle w:val="Compact"/>
        <w:numPr>
          <w:ilvl w:val="0"/>
          <w:numId w:val="1041"/>
        </w:numPr>
      </w:pPr>
      <w:r>
        <w:t xml:space="preserve">Quality control procedures</w:t>
      </w:r>
    </w:p>
    <w:p>
      <w:pPr>
        <w:pStyle w:val="Compact"/>
        <w:numPr>
          <w:ilvl w:val="0"/>
          <w:numId w:val="1041"/>
        </w:numPr>
      </w:pPr>
      <w:r>
        <w:t xml:space="preserve">Access and usage rights</w:t>
      </w:r>
    </w:p>
    <w:p>
      <w:pPr>
        <w:pStyle w:val="FirstParagraph"/>
      </w:pPr>
      <w:r>
        <w:t xml:space="preserve">This standardized metadata enables automated data transformation and ingestion into various portal systems while preserving the original data context and quality information.</w:t>
      </w:r>
    </w:p>
    <w:bookmarkEnd w:id="159"/>
    <w:bookmarkStart w:id="164" w:name="meta-portals"/>
    <w:p>
      <w:pPr>
        <w:pStyle w:val="Heading2"/>
      </w:pPr>
      <w:r>
        <w:t xml:space="preserve">7.5 Meta-Portals</w:t>
      </w:r>
    </w:p>
    <w:bookmarkStart w:id="161" w:name="google-dataset-search"/>
    <w:p>
      <w:pPr>
        <w:pStyle w:val="Heading3"/>
      </w:pPr>
      <w:r>
        <w:t xml:space="preserve">7.5.1 Google Dataset Search</w:t>
      </w:r>
    </w:p>
    <w:p>
      <w:pPr>
        <w:pStyle w:val="FirstParagraph"/>
      </w:pPr>
      <w:r>
        <w:t xml:space="preserve">The JSON-LD metadata in the Portal dataset web pages get indexed by</w:t>
      </w:r>
      <w:r>
        <w:t xml:space="preserve"> </w:t>
      </w:r>
      <w:hyperlink r:id="rId160">
        <w:r>
          <w:rPr>
            <w:rStyle w:val="Hyperlink"/>
          </w:rPr>
          <w:t xml:space="preserve">Google Dataset Search</w:t>
        </w:r>
      </w:hyperlink>
      <w:r>
        <w:t xml:space="preserve"> </w:t>
      </w:r>
      <w:r>
        <w:t xml:space="preserve">through schema.org metadata. This ensures that CalCOFI data is discoverable through Google search and other search engines.</w:t>
      </w:r>
    </w:p>
    <w:bookmarkEnd w:id="161"/>
    <w:bookmarkStart w:id="163" w:name="odis"/>
    <w:p>
      <w:pPr>
        <w:pStyle w:val="Heading3"/>
      </w:pPr>
      <w:r>
        <w:t xml:space="preserve">7.5.2 ODIS</w:t>
      </w:r>
    </w:p>
    <w:p>
      <w:pPr>
        <w:pStyle w:val="FirstParagraph"/>
      </w:pPr>
      <w:r>
        <w:rPr>
          <w:b/>
          <w:bCs/>
        </w:rPr>
        <w:t xml:space="preserve">Ocean Data Information System</w:t>
      </w:r>
    </w:p>
    <w:p>
      <w:pPr>
        <w:pStyle w:val="BodyText"/>
      </w:pPr>
      <w:r>
        <w:t xml:space="preserve">ODIS uses the same technology as Google Dataset Search (schema.org, JSON-LD), but focuses on ocean data. CalCOFI curates a sitemap of authoritative datasets to server to</w:t>
      </w:r>
      <w:r>
        <w:t xml:space="preserve"> </w:t>
      </w:r>
      <w:hyperlink r:id="rId162">
        <w:r>
          <w:rPr>
            <w:rStyle w:val="Hyperlink"/>
          </w:rPr>
          <w:t xml:space="preserve">ODIS.org</w:t>
        </w:r>
      </w:hyperlink>
    </w:p>
    <w:p>
      <w:pPr>
        <w:pStyle w:val="BodyText"/>
      </w:pPr>
      <w:r>
        <w:t xml:space="preserve">This federated approach ensures that CalCOFI data remains:</w:t>
      </w:r>
    </w:p>
    <w:p>
      <w:pPr>
        <w:pStyle w:val="Compact"/>
        <w:numPr>
          <w:ilvl w:val="0"/>
          <w:numId w:val="1042"/>
        </w:numPr>
      </w:pPr>
      <w:r>
        <w:t xml:space="preserve">Discoverable through multiple channels</w:t>
      </w:r>
    </w:p>
    <w:p>
      <w:pPr>
        <w:pStyle w:val="Compact"/>
        <w:numPr>
          <w:ilvl w:val="0"/>
          <w:numId w:val="1042"/>
        </w:numPr>
      </w:pPr>
      <w:r>
        <w:t xml:space="preserve">Properly cited and attributed</w:t>
      </w:r>
    </w:p>
    <w:p>
      <w:pPr>
        <w:pStyle w:val="Compact"/>
        <w:numPr>
          <w:ilvl w:val="0"/>
          <w:numId w:val="1042"/>
        </w:numPr>
      </w:pPr>
      <w:r>
        <w:t xml:space="preserve">Integrated with global ocean data systems</w:t>
      </w:r>
    </w:p>
    <w:bookmarkEnd w:id="163"/>
    <w:bookmarkEnd w:id="164"/>
    <w:bookmarkStart w:id="171" w:name="calcofi.io-tools"/>
    <w:p>
      <w:pPr>
        <w:pStyle w:val="Heading2"/>
      </w:pPr>
      <w:r>
        <w:t xml:space="preserve">7.6 CalCOFI.io Tools</w:t>
      </w:r>
    </w:p>
    <w:p>
      <w:pPr>
        <w:pStyle w:val="FirstParagraph"/>
      </w:pPr>
      <w:r>
        <w:t xml:space="preserve">CalCOFI is also developing an integrated database and tools that enable efficient data access and analysis:</w:t>
      </w:r>
    </w:p>
    <w:bookmarkStart w:id="166" w:name="apis"/>
    <w:p>
      <w:pPr>
        <w:pStyle w:val="Heading3"/>
      </w:pPr>
      <w:r>
        <w:t xml:space="preserve">7.6.1 APIs</w:t>
      </w:r>
    </w:p>
    <w:p>
      <w:pPr>
        <w:pStyle w:val="Compact"/>
        <w:numPr>
          <w:ilvl w:val="0"/>
          <w:numId w:val="1043"/>
        </w:numPr>
      </w:pPr>
      <w:r>
        <w:t xml:space="preserve">RESTful endpoints for programmatic access</w:t>
      </w:r>
    </w:p>
    <w:p>
      <w:pPr>
        <w:pStyle w:val="Compact"/>
        <w:numPr>
          <w:ilvl w:val="0"/>
          <w:numId w:val="1043"/>
        </w:numPr>
      </w:pPr>
      <w:r>
        <w:t xml:space="preserve">Filtering by space, time, and taxonomic parameters</w:t>
      </w:r>
    </w:p>
    <w:p>
      <w:pPr>
        <w:pStyle w:val="Compact"/>
        <w:numPr>
          <w:ilvl w:val="0"/>
          <w:numId w:val="1043"/>
        </w:numPr>
      </w:pPr>
      <w:r>
        <w:t xml:space="preserve">Relationship queries across tables</w:t>
      </w:r>
    </w:p>
    <w:p>
      <w:pPr>
        <w:pStyle w:val="Compact"/>
        <w:numPr>
          <w:ilvl w:val="0"/>
          <w:numId w:val="1043"/>
        </w:numPr>
      </w:pPr>
      <w:r>
        <w:t xml:space="preserve">Links:</w:t>
      </w:r>
    </w:p>
    <w:p>
      <w:pPr>
        <w:pStyle w:val="Compact"/>
        <w:numPr>
          <w:ilvl w:val="1"/>
          <w:numId w:val="1044"/>
        </w:numPr>
      </w:pPr>
      <w:hyperlink r:id="rId73">
        <w:r>
          <w:rPr>
            <w:rStyle w:val="Hyperlink"/>
          </w:rPr>
          <w:t xml:space="preserve">api.calcofi.io</w:t>
        </w:r>
      </w:hyperlink>
    </w:p>
    <w:p>
      <w:pPr>
        <w:pStyle w:val="Compact"/>
        <w:numPr>
          <w:ilvl w:val="1"/>
          <w:numId w:val="1044"/>
        </w:numPr>
      </w:pPr>
      <w:hyperlink r:id="rId165">
        <w:r>
          <w:rPr>
            <w:rStyle w:val="Hyperlink"/>
          </w:rPr>
          <w:t xml:space="preserve">tile.calcofi.io</w:t>
        </w:r>
      </w:hyperlink>
    </w:p>
    <w:bookmarkEnd w:id="166"/>
    <w:bookmarkStart w:id="168" w:name="library"/>
    <w:p>
      <w:pPr>
        <w:pStyle w:val="Heading3"/>
      </w:pPr>
      <w:r>
        <w:t xml:space="preserve">7.6.2 Library</w:t>
      </w:r>
    </w:p>
    <w:p>
      <w:pPr>
        <w:pStyle w:val="Compact"/>
        <w:numPr>
          <w:ilvl w:val="0"/>
          <w:numId w:val="1045"/>
        </w:numPr>
      </w:pPr>
      <w:r>
        <w:t xml:space="preserve">Direct data access from R</w:t>
      </w:r>
    </w:p>
    <w:p>
      <w:pPr>
        <w:pStyle w:val="Compact"/>
        <w:numPr>
          <w:ilvl w:val="0"/>
          <w:numId w:val="1045"/>
        </w:numPr>
      </w:pPr>
      <w:r>
        <w:t xml:space="preserve">Built-in analysis functions</w:t>
      </w:r>
    </w:p>
    <w:p>
      <w:pPr>
        <w:pStyle w:val="Compact"/>
        <w:numPr>
          <w:ilvl w:val="0"/>
          <w:numId w:val="1045"/>
        </w:numPr>
      </w:pPr>
      <w:r>
        <w:t xml:space="preserve">Integration with tidyverse ecosystem</w:t>
      </w:r>
    </w:p>
    <w:p>
      <w:pPr>
        <w:pStyle w:val="Compact"/>
        <w:numPr>
          <w:ilvl w:val="0"/>
          <w:numId w:val="1045"/>
        </w:numPr>
      </w:pPr>
      <w:r>
        <w:t xml:space="preserve">Link:</w:t>
      </w:r>
    </w:p>
    <w:p>
      <w:pPr>
        <w:pStyle w:val="Compact"/>
        <w:numPr>
          <w:ilvl w:val="1"/>
          <w:numId w:val="1046"/>
        </w:numPr>
      </w:pPr>
      <w:hyperlink r:id="rId167">
        <w:r>
          <w:rPr>
            <w:rStyle w:val="Hyperlink"/>
          </w:rPr>
          <w:t xml:space="preserve">calcofi.io/calcofi4r</w:t>
        </w:r>
      </w:hyperlink>
    </w:p>
    <w:bookmarkEnd w:id="168"/>
    <w:bookmarkStart w:id="170" w:name="apps"/>
    <w:p>
      <w:pPr>
        <w:pStyle w:val="Heading3"/>
      </w:pPr>
      <w:r>
        <w:t xml:space="preserve">7.6.3 Apps</w:t>
      </w:r>
    </w:p>
    <w:p>
      <w:pPr>
        <w:pStyle w:val="Compact"/>
        <w:numPr>
          <w:ilvl w:val="0"/>
          <w:numId w:val="1047"/>
        </w:numPr>
      </w:pPr>
      <w:r>
        <w:t xml:space="preserve">Interactive data exploration with Shiny applications</w:t>
      </w:r>
    </w:p>
    <w:p>
      <w:pPr>
        <w:pStyle w:val="Compact"/>
        <w:numPr>
          <w:ilvl w:val="0"/>
          <w:numId w:val="1047"/>
        </w:numPr>
      </w:pPr>
      <w:r>
        <w:t xml:space="preserve">User-friendly interfaces</w:t>
      </w:r>
    </w:p>
    <w:p>
      <w:pPr>
        <w:pStyle w:val="Compact"/>
        <w:numPr>
          <w:ilvl w:val="0"/>
          <w:numId w:val="1047"/>
        </w:numPr>
      </w:pPr>
      <w:r>
        <w:t xml:space="preserve">Subset and download data</w:t>
      </w:r>
    </w:p>
    <w:p>
      <w:pPr>
        <w:pStyle w:val="Compact"/>
        <w:numPr>
          <w:ilvl w:val="0"/>
          <w:numId w:val="1047"/>
        </w:numPr>
      </w:pPr>
      <w:r>
        <w:t xml:space="preserve">Link:</w:t>
      </w:r>
    </w:p>
    <w:p>
      <w:pPr>
        <w:pStyle w:val="Compact"/>
        <w:numPr>
          <w:ilvl w:val="1"/>
          <w:numId w:val="1048"/>
        </w:numPr>
      </w:pPr>
      <w:hyperlink r:id="rId169">
        <w:r>
          <w:rPr>
            <w:rStyle w:val="Hyperlink"/>
          </w:rPr>
          <w:t xml:space="preserve">calcofi.io</w:t>
        </w:r>
      </w:hyperlink>
      <w:r>
        <w:t xml:space="preserve">, App button</w:t>
      </w:r>
    </w:p>
    <w:bookmarkEnd w:id="170"/>
    <w:bookmarkEnd w:id="171"/>
    <w:bookmarkEnd w:id="172"/>
    <w:bookmarkStart w:id="220" w:name="status"/>
    <w:p>
      <w:pPr>
        <w:pStyle w:val="Heading1"/>
      </w:pPr>
      <w:r>
        <w:t xml:space="preserve">8. Status</w:t>
      </w:r>
    </w:p>
    <w:bookmarkStart w:id="179" w:name="section"/>
    <w:p>
      <w:pPr>
        <w:pStyle w:val="Heading2"/>
      </w:pPr>
      <w:r>
        <w:t xml:space="preserve">8.1 2025-12-01</w:t>
      </w:r>
    </w:p>
    <w:p>
      <w:pPr>
        <w:pStyle w:val="FirstParagraph"/>
      </w:pPr>
      <w:r>
        <w:t xml:space="preserve">Over the past several months, CalCOFI’s software and data systems have advanced significantly toward a unified, reliable, and user‑friendly platform for exploring and publishing CalCOFI data. Work has focused on four main areas: the integrated data app, the underlying database and workflows, pushing to OBIS, and organizing</w:t>
      </w:r>
      <w:r>
        <w:t xml:space="preserve"> </w:t>
      </w:r>
      <w:r>
        <w:t xml:space="preserve">of CTD data.</w:t>
      </w:r>
    </w:p>
    <w:bookmarkStart w:id="173" w:name="X937bd3087d53250a27eb0b6fbe085019fdffd80"/>
    <w:p>
      <w:pPr>
        <w:pStyle w:val="Heading3"/>
      </w:pPr>
      <w:r>
        <w:t xml:space="preserve">8.1.1 A More Capable, User-Friendly Integrated App</w:t>
      </w:r>
    </w:p>
    <w:p>
      <w:pPr>
        <w:pStyle w:val="FirstParagraph"/>
      </w:pPr>
      <w:r>
        <w:t xml:space="preserve">The</w:t>
      </w:r>
      <w:r>
        <w:t xml:space="preserve"> </w:t>
      </w:r>
      <w:r>
        <w:rPr>
          <w:b/>
          <w:bCs/>
        </w:rPr>
        <w:t xml:space="preserve">CalCOFI integrated application (</w:t>
      </w:r>
      <w:r>
        <w:rPr>
          <w:rStyle w:val="VerbatimChar"/>
          <w:b/>
          <w:bCs/>
        </w:rPr>
        <w:t xml:space="preserve">int-app</w:t>
      </w:r>
      <w:r>
        <w:rPr>
          <w:b/>
          <w:bCs/>
        </w:rPr>
        <w:t xml:space="preserve">)</w:t>
      </w:r>
      <w:r>
        <w:t xml:space="preserve"> </w:t>
      </w:r>
      <w:r>
        <w:t xml:space="preserve">has evolved into a much richer and more intuitive tool for scientists and partners:</w:t>
      </w:r>
    </w:p>
    <w:p>
      <w:pPr>
        <w:numPr>
          <w:ilvl w:val="0"/>
          <w:numId w:val="1049"/>
        </w:numPr>
      </w:pPr>
      <w:r>
        <w:rPr>
          <w:b/>
          <w:bCs/>
        </w:rPr>
        <w:t xml:space="preserve">Taxonomy-aware exploration</w:t>
      </w:r>
      <w:r>
        <w:br/>
      </w:r>
      <w:r>
        <w:t xml:space="preserve">The app now understands species and their taxonomic relationships. Users can browse taxa hierarchies, see taxonomic ranks, and work with improved species metadata tied to authoritative sources (e.g., WoRMS, ITIS). This makes it easier to find and compare species and groups of species consistently.</w:t>
      </w:r>
    </w:p>
    <w:p>
      <w:pPr>
        <w:numPr>
          <w:ilvl w:val="0"/>
          <w:numId w:val="1049"/>
        </w:numPr>
      </w:pPr>
      <w:r>
        <w:rPr>
          <w:b/>
          <w:bCs/>
        </w:rPr>
        <w:t xml:space="preserve">Better visual experience and theming</w:t>
      </w:r>
      <w:r>
        <w:br/>
      </w:r>
      <w:r>
        <w:t xml:space="preserve">A new</w:t>
      </w:r>
      <w:r>
        <w:t xml:space="preserve"> </w:t>
      </w:r>
      <w:r>
        <w:rPr>
          <w:b/>
          <w:bCs/>
        </w:rPr>
        <w:t xml:space="preserve">dark/light theme toggle</w:t>
      </w:r>
      <w:r>
        <w:t xml:space="preserve"> </w:t>
      </w:r>
      <w:r>
        <w:t xml:space="preserve">has been implemented and refined so that maps, time series, and other plots remain readable and visually consistent. Navigation has been reorganized, with a clearer About page, a guided “tour” of the app, and more intuitive icons and labels, making the app easier to learn and use.</w:t>
      </w:r>
    </w:p>
    <w:p>
      <w:pPr>
        <w:numPr>
          <w:ilvl w:val="0"/>
          <w:numId w:val="1049"/>
        </w:numPr>
      </w:pPr>
      <w:r>
        <w:rPr>
          <w:b/>
          <w:bCs/>
        </w:rPr>
        <w:t xml:space="preserve">Stronger spatial and temporal tools</w:t>
      </w:r>
      <w:r>
        <w:br/>
      </w:r>
      <w:r>
        <w:t xml:space="preserve">Spatial maps now rely on efficient hexagon grids calculated in the database, improving performance and scalability. Default settings for time and depth matching have been tuned to yield better joins between environmental and biological data out of the box.</w:t>
      </w:r>
    </w:p>
    <w:p>
      <w:pPr>
        <w:pStyle w:val="FirstParagraph"/>
      </w:pPr>
      <w:r>
        <w:t xml:space="preserve">Overall, the app is moving from a prototype to a</w:t>
      </w:r>
      <w:r>
        <w:t xml:space="preserve"> </w:t>
      </w:r>
      <w:r>
        <w:rPr>
          <w:b/>
          <w:bCs/>
        </w:rPr>
        <w:t xml:space="preserve">polished, guided interface</w:t>
      </w:r>
      <w:r>
        <w:t xml:space="preserve"> </w:t>
      </w:r>
      <w:r>
        <w:t xml:space="preserve">that better supports exploratory analysis and communication.</w:t>
      </w:r>
    </w:p>
    <w:p>
      <w:r>
        <w:pict>
          <v:rect style="width:0;height:1.5pt" o:hralign="center" o:hrstd="t" o:hr="t"/>
        </w:pict>
      </w:r>
    </w:p>
    <w:bookmarkEnd w:id="173"/>
    <w:bookmarkStart w:id="174" w:name="X4382a81008eef0c07c3d182046c591f52b58219"/>
    <w:p>
      <w:pPr>
        <w:pStyle w:val="Heading3"/>
      </w:pPr>
      <w:r>
        <w:t xml:space="preserve">8.1.2 A Stable, Well-Documented Database Foundation</w:t>
      </w:r>
    </w:p>
    <w:p>
      <w:pPr>
        <w:pStyle w:val="FirstParagraph"/>
      </w:pPr>
      <w:r>
        <w:t xml:space="preserve">The</w:t>
      </w:r>
      <w:r>
        <w:t xml:space="preserve"> </w:t>
      </w:r>
      <w:r>
        <w:rPr>
          <w:b/>
          <w:bCs/>
        </w:rPr>
        <w:t xml:space="preserve">CalCOFI database package (</w:t>
      </w:r>
      <w:r>
        <w:rPr>
          <w:rStyle w:val="VerbatimChar"/>
          <w:b/>
          <w:bCs/>
        </w:rPr>
        <w:t xml:space="preserve">calcofi4db</w:t>
      </w:r>
      <w:r>
        <w:rPr>
          <w:b/>
          <w:bCs/>
        </w:rPr>
        <w:t xml:space="preserve">)</w:t>
      </w:r>
      <w:r>
        <w:t xml:space="preserve"> </w:t>
      </w:r>
      <w:r>
        <w:t xml:space="preserve">has been formalized and versioned, providing a solid foundation for all downstream tools:</w:t>
      </w:r>
    </w:p>
    <w:p>
      <w:pPr>
        <w:pStyle w:val="Compact"/>
        <w:numPr>
          <w:ilvl w:val="0"/>
          <w:numId w:val="1050"/>
        </w:numPr>
      </w:pPr>
      <w:r>
        <w:rPr>
          <w:b/>
          <w:bCs/>
        </w:rPr>
        <w:t xml:space="preserve">Two stable releases</w:t>
      </w:r>
      <w:r>
        <w:t xml:space="preserve"> </w:t>
      </w:r>
      <w:r>
        <w:t xml:space="preserve">(versions 1.0 and 1.1) have established a reliable baseline for the database, including bottle-level data.</w:t>
      </w:r>
    </w:p>
    <w:p>
      <w:pPr>
        <w:pStyle w:val="Compact"/>
        <w:numPr>
          <w:ilvl w:val="0"/>
          <w:numId w:val="1050"/>
        </w:numPr>
      </w:pPr>
      <w:r>
        <w:t xml:space="preserve">The project now follows a</w:t>
      </w:r>
      <w:r>
        <w:t xml:space="preserve"> </w:t>
      </w:r>
      <w:r>
        <w:rPr>
          <w:b/>
          <w:bCs/>
        </w:rPr>
        <w:t xml:space="preserve">clear strategy for separate development and production databases</w:t>
      </w:r>
      <w:r>
        <w:t xml:space="preserve">, reducing risk when making changes and improving reproducibility.</w:t>
      </w:r>
    </w:p>
    <w:p>
      <w:pPr>
        <w:pStyle w:val="Compact"/>
        <w:numPr>
          <w:ilvl w:val="0"/>
          <w:numId w:val="1050"/>
        </w:numPr>
      </w:pPr>
      <w:r>
        <w:t xml:space="preserve">Data ingestion from NOAA and other sources has been</w:t>
      </w:r>
      <w:r>
        <w:t xml:space="preserve"> </w:t>
      </w:r>
      <w:r>
        <w:rPr>
          <w:b/>
          <w:bCs/>
        </w:rPr>
        <w:t xml:space="preserve">hardened</w:t>
      </w:r>
      <w:r>
        <w:t xml:space="preserve">, with several rounds of fixes to handle edge cases and ensure that raw files are consistently and correctly translated into the database.</w:t>
      </w:r>
    </w:p>
    <w:p>
      <w:pPr>
        <w:pStyle w:val="FirstParagraph"/>
      </w:pPr>
      <w:r>
        <w:t xml:space="preserve">In addition, the package’s</w:t>
      </w:r>
      <w:r>
        <w:t xml:space="preserve"> </w:t>
      </w:r>
      <w:r>
        <w:rPr>
          <w:b/>
          <w:bCs/>
        </w:rPr>
        <w:t xml:space="preserve">online documentation site</w:t>
      </w:r>
      <w:r>
        <w:t xml:space="preserve"> </w:t>
      </w:r>
      <w:r>
        <w:t xml:space="preserve">has been refreshed so that developers and analysts have up-to-date guidance on how data flow into and through the database.</w:t>
      </w:r>
    </w:p>
    <w:p>
      <w:r>
        <w:pict>
          <v:rect style="width:0;height:1.5pt" o:hralign="center" o:hrstd="t" o:hr="t"/>
        </w:pict>
      </w:r>
    </w:p>
    <w:bookmarkEnd w:id="174"/>
    <w:bookmarkStart w:id="175" w:name="X53211351bbaf319ff09e897ce4e2c10df4d26fa"/>
    <w:p>
      <w:pPr>
        <w:pStyle w:val="Heading3"/>
      </w:pPr>
      <w:r>
        <w:t xml:space="preserve">8.1.3 Unified R Tools and Documentation Around DuckDB</w:t>
      </w:r>
    </w:p>
    <w:p>
      <w:pPr>
        <w:pStyle w:val="FirstParagraph"/>
      </w:pPr>
      <w:r>
        <w:t xml:space="preserve">Across the toolchain, CalCOFI has standardized on</w:t>
      </w:r>
      <w:r>
        <w:t xml:space="preserve"> </w:t>
      </w:r>
      <w:r>
        <w:rPr>
          <w:b/>
          <w:bCs/>
        </w:rPr>
        <w:t xml:space="preserve">DuckDB</w:t>
      </w:r>
      <w:r>
        <w:t xml:space="preserve"> </w:t>
      </w:r>
      <w:r>
        <w:t xml:space="preserve">as the core data engine:</w:t>
      </w:r>
    </w:p>
    <w:p>
      <w:pPr>
        <w:pStyle w:val="Compact"/>
        <w:numPr>
          <w:ilvl w:val="0"/>
          <w:numId w:val="1051"/>
        </w:numPr>
      </w:pPr>
      <w:r>
        <w:t xml:space="preserve">The</w:t>
      </w:r>
      <w:r>
        <w:t xml:space="preserve"> </w:t>
      </w:r>
      <w:r>
        <w:rPr>
          <w:b/>
          <w:bCs/>
        </w:rPr>
        <w:t xml:space="preserve">R package (</w:t>
      </w:r>
      <w:r>
        <w:rPr>
          <w:rStyle w:val="VerbatimChar"/>
          <w:b/>
          <w:bCs/>
        </w:rPr>
        <w:t xml:space="preserve">calcofi4r</w:t>
      </w:r>
      <w:r>
        <w:rPr>
          <w:b/>
          <w:bCs/>
        </w:rPr>
        <w:t xml:space="preserve">)</w:t>
      </w:r>
      <w:r>
        <w:t xml:space="preserve"> </w:t>
      </w:r>
      <w:r>
        <w:t xml:space="preserve">now encapsulates key logic originally developed inside the integrated app, so the same high-quality data access and processing is available in scripts, reports, and analyses—not just in the web interface.</w:t>
      </w:r>
    </w:p>
    <w:p>
      <w:pPr>
        <w:pStyle w:val="Compact"/>
        <w:numPr>
          <w:ilvl w:val="0"/>
          <w:numId w:val="1051"/>
        </w:numPr>
      </w:pPr>
      <w:r>
        <w:t xml:space="preserve">Both the app and R package can connect to</w:t>
      </w:r>
      <w:r>
        <w:t xml:space="preserve"> </w:t>
      </w:r>
      <w:r>
        <w:rPr>
          <w:b/>
          <w:bCs/>
        </w:rPr>
        <w:t xml:space="preserve">local or remote DuckDB databases</w:t>
      </w:r>
      <w:r>
        <w:t xml:space="preserve">, improving performance and enabling offline or near‑offline workflows.</w:t>
      </w:r>
    </w:p>
    <w:p>
      <w:pPr>
        <w:pStyle w:val="Compact"/>
        <w:numPr>
          <w:ilvl w:val="0"/>
          <w:numId w:val="1051"/>
        </w:numPr>
      </w:pPr>
      <w:r>
        <w:t xml:space="preserve">Documentation in the</w:t>
      </w:r>
      <w:r>
        <w:t xml:space="preserve"> </w:t>
      </w:r>
      <w:r>
        <w:rPr>
          <w:rStyle w:val="VerbatimChar"/>
          <w:b/>
          <w:bCs/>
        </w:rPr>
        <w:t xml:space="preserve">docs</w:t>
      </w:r>
      <w:r>
        <w:rPr>
          <w:b/>
          <w:bCs/>
        </w:rPr>
        <w:t xml:space="preserve"> </w:t>
      </w:r>
      <w:r>
        <w:rPr>
          <w:b/>
          <w:bCs/>
        </w:rPr>
        <w:t xml:space="preserve">repository</w:t>
      </w:r>
      <w:r>
        <w:t xml:space="preserve"> </w:t>
      </w:r>
      <w:r>
        <w:t xml:space="preserve">has been updated to describe the full data creation process (from raw data to ready‑to‑use databases) and to explain the new development/production database strategy. Status documents and helper scripts provide clearer visibility into project progress.</w:t>
      </w:r>
    </w:p>
    <w:p>
      <w:pPr>
        <w:pStyle w:val="FirstParagraph"/>
      </w:pPr>
      <w:r>
        <w:t xml:space="preserve">This brings CalCOFI closer to a</w:t>
      </w:r>
      <w:r>
        <w:t xml:space="preserve"> </w:t>
      </w:r>
      <w:r>
        <w:rPr>
          <w:b/>
          <w:bCs/>
        </w:rPr>
        <w:t xml:space="preserve">coherent, documented platform</w:t>
      </w:r>
      <w:r>
        <w:t xml:space="preserve"> </w:t>
      </w:r>
      <w:r>
        <w:t xml:space="preserve">where analysts can move seamlessly between app-based exploration and scripted analysis.</w:t>
      </w:r>
    </w:p>
    <w:p>
      <w:r>
        <w:pict>
          <v:rect style="width:0;height:1.5pt" o:hralign="center" o:hrstd="t" o:hr="t"/>
        </w:pict>
      </w:r>
    </w:p>
    <w:bookmarkEnd w:id="175"/>
    <w:bookmarkStart w:id="176" w:name="X2ac610fbe735553e54612facbfaa0e7548a631f"/>
    <w:p>
      <w:pPr>
        <w:pStyle w:val="Heading3"/>
      </w:pPr>
      <w:r>
        <w:t xml:space="preserve">8.1.4 Standards-Compliant Publication of Biological Data</w:t>
      </w:r>
    </w:p>
    <w:p>
      <w:pPr>
        <w:pStyle w:val="FirstParagraph"/>
      </w:pPr>
      <w:r>
        <w:t xml:space="preserve">The</w:t>
      </w:r>
      <w:r>
        <w:t xml:space="preserve"> </w:t>
      </w:r>
      <w:r>
        <w:rPr>
          <w:rStyle w:val="VerbatimChar"/>
          <w:b/>
          <w:bCs/>
        </w:rPr>
        <w:t xml:space="preserve">workflows</w:t>
      </w:r>
      <w:r>
        <w:t xml:space="preserve"> </w:t>
      </w:r>
      <w:r>
        <w:t xml:space="preserve">repository has seen major progress in turning CalCOFI’s biological datasets into</w:t>
      </w:r>
      <w:r>
        <w:t xml:space="preserve"> </w:t>
      </w:r>
      <w:r>
        <w:rPr>
          <w:b/>
          <w:bCs/>
        </w:rPr>
        <w:t xml:space="preserve">publication-ready products</w:t>
      </w:r>
      <w:r>
        <w:t xml:space="preserve">:</w:t>
      </w:r>
    </w:p>
    <w:p>
      <w:pPr>
        <w:pStyle w:val="Compact"/>
        <w:numPr>
          <w:ilvl w:val="0"/>
          <w:numId w:val="1052"/>
        </w:numPr>
      </w:pPr>
      <w:r>
        <w:t xml:space="preserve">New workflows now</w:t>
      </w:r>
      <w:r>
        <w:t xml:space="preserve"> </w:t>
      </w:r>
      <w:r>
        <w:rPr>
          <w:b/>
          <w:bCs/>
        </w:rPr>
        <w:t xml:space="preserve">publish larval data to OBIS</w:t>
      </w:r>
      <w:r>
        <w:t xml:space="preserve">, the global biodiversity information system, with repeatable recipes that combine biological observations with CTD (oceanographic) data.</w:t>
      </w:r>
    </w:p>
    <w:p>
      <w:pPr>
        <w:pStyle w:val="Compact"/>
        <w:numPr>
          <w:ilvl w:val="0"/>
          <w:numId w:val="1052"/>
        </w:numPr>
      </w:pPr>
      <w:r>
        <w:t xml:space="preserve">The underlying data model for</w:t>
      </w:r>
      <w:r>
        <w:t xml:space="preserve"> </w:t>
      </w:r>
      <w:r>
        <w:rPr>
          <w:b/>
          <w:bCs/>
        </w:rPr>
        <w:t xml:space="preserve">events and occurrences</w:t>
      </w:r>
      <w:r>
        <w:t xml:space="preserve"> </w:t>
      </w:r>
      <w:r>
        <w:t xml:space="preserve">has been strengthened to align with international standards (e.g., Darwin Core), including:</w:t>
      </w:r>
    </w:p>
    <w:p>
      <w:pPr>
        <w:pStyle w:val="Compact"/>
        <w:numPr>
          <w:ilvl w:val="1"/>
          <w:numId w:val="1053"/>
        </w:numPr>
      </w:pPr>
      <w:r>
        <w:t xml:space="preserve">Clear hierarchies of sampling events,</w:t>
      </w:r>
    </w:p>
    <w:p>
      <w:pPr>
        <w:pStyle w:val="Compact"/>
        <w:numPr>
          <w:ilvl w:val="1"/>
          <w:numId w:val="1053"/>
        </w:numPr>
      </w:pPr>
      <w:r>
        <w:t xml:space="preserve">Better handling of life‑stage and size information (e.g., egg and larval stages),</w:t>
      </w:r>
    </w:p>
    <w:p>
      <w:pPr>
        <w:pStyle w:val="Compact"/>
        <w:numPr>
          <w:ilvl w:val="1"/>
          <w:numId w:val="1053"/>
        </w:numPr>
      </w:pPr>
      <w:r>
        <w:t xml:space="preserve">Automated generation of metadata files required for data archives.</w:t>
      </w:r>
    </w:p>
    <w:p>
      <w:pPr>
        <w:pStyle w:val="Compact"/>
        <w:numPr>
          <w:ilvl w:val="0"/>
          <w:numId w:val="1052"/>
        </w:numPr>
      </w:pPr>
      <w:r>
        <w:t xml:space="preserve">Additional integrity checks and foreign key relationships help ensure that data are correct and consistent before publication.</w:t>
      </w:r>
    </w:p>
    <w:p>
      <w:pPr>
        <w:pStyle w:val="FirstParagraph"/>
      </w:pPr>
      <w:r>
        <w:t xml:space="preserve">These advances substantially improve CalCOFI’s ability to</w:t>
      </w:r>
      <w:r>
        <w:t xml:space="preserve"> </w:t>
      </w:r>
      <w:r>
        <w:rPr>
          <w:b/>
          <w:bCs/>
        </w:rPr>
        <w:t xml:space="preserve">share high-quality, well-structured biodiversity data</w:t>
      </w:r>
      <w:r>
        <w:t xml:space="preserve"> </w:t>
      </w:r>
      <w:r>
        <w:t xml:space="preserve">with the broader scientific community.</w:t>
      </w:r>
    </w:p>
    <w:p>
      <w:r>
        <w:pict>
          <v:rect style="width:0;height:1.5pt" o:hralign="center" o:hrstd="t" o:hr="t"/>
        </w:pict>
      </w:r>
    </w:p>
    <w:bookmarkEnd w:id="176"/>
    <w:bookmarkStart w:id="177" w:name="X412fb6f606d875da645c881803255dde586bbc8"/>
    <w:p>
      <w:pPr>
        <w:pStyle w:val="Heading3"/>
      </w:pPr>
      <w:r>
        <w:t xml:space="preserve">8.1.5 Improved Public Access and Infrastructure</w:t>
      </w:r>
    </w:p>
    <w:p>
      <w:pPr>
        <w:pStyle w:val="FirstParagraph"/>
      </w:pPr>
      <w:r>
        <w:t xml:space="preserve">Finally, several changes improve how external users find and access CalCOFI tools:</w:t>
      </w:r>
    </w:p>
    <w:p>
      <w:pPr>
        <w:pStyle w:val="Compact"/>
        <w:numPr>
          <w:ilvl w:val="0"/>
          <w:numId w:val="1054"/>
        </w:numPr>
      </w:pPr>
      <w:r>
        <w:t xml:space="preserve">The</w:t>
      </w:r>
      <w:r>
        <w:t xml:space="preserve"> </w:t>
      </w:r>
      <w:r>
        <w:rPr>
          <w:b/>
          <w:bCs/>
        </w:rPr>
        <w:t xml:space="preserve">public website (</w:t>
      </w:r>
      <w:r>
        <w:rPr>
          <w:rStyle w:val="VerbatimChar"/>
          <w:b/>
          <w:bCs/>
        </w:rPr>
        <w:t xml:space="preserve">CalCOFI.github.io</w:t>
      </w:r>
      <w:r>
        <w:rPr>
          <w:b/>
          <w:bCs/>
        </w:rPr>
        <w:t xml:space="preserve">)</w:t>
      </w:r>
      <w:r>
        <w:t xml:space="preserve"> </w:t>
      </w:r>
      <w:r>
        <w:t xml:space="preserve">now highlights key applications, including the integrated app and a pollutants-focused app, making them easier to discover.</w:t>
      </w:r>
    </w:p>
    <w:p>
      <w:pPr>
        <w:pStyle w:val="Compact"/>
        <w:numPr>
          <w:ilvl w:val="0"/>
          <w:numId w:val="1054"/>
        </w:numPr>
      </w:pPr>
      <w:r>
        <w:t xml:space="preserve">Server configuration has been updated so that</w:t>
      </w:r>
      <w:r>
        <w:t xml:space="preserve"> </w:t>
      </w:r>
      <w:r>
        <w:rPr>
          <w:b/>
          <w:bCs/>
        </w:rPr>
        <w:t xml:space="preserve">Shiny apps are served from a new dedicated domain</w:t>
      </w:r>
      <w:r>
        <w:rPr>
          <w:b/>
          <w:bCs/>
        </w:rPr>
        <w:t xml:space="preserve"> </w:t>
      </w:r>
      <w:r>
        <w:rPr>
          <w:rStyle w:val="VerbatimChar"/>
          <w:b/>
          <w:bCs/>
        </w:rPr>
        <w:t xml:space="preserve">app.calcofi.io</w:t>
      </w:r>
      <w:r>
        <w:t xml:space="preserve"> </w:t>
      </w:r>
      <w:r>
        <w:t xml:space="preserve">(and still</w:t>
      </w:r>
      <w:r>
        <w:t xml:space="preserve"> </w:t>
      </w:r>
      <w:r>
        <w:rPr>
          <w:rStyle w:val="VerbatimChar"/>
        </w:rPr>
        <w:t xml:space="preserve">shiny.calcofi.io</w:t>
      </w:r>
      <w:r>
        <w:t xml:space="preserve">), clarifying the entry point for interactive tools and simplifying operations.</w:t>
      </w:r>
    </w:p>
    <w:p>
      <w:r>
        <w:pict>
          <v:rect style="width:0;height:1.5pt" o:hralign="center" o:hrstd="t" o:hr="t"/>
        </w:pict>
      </w:r>
    </w:p>
    <w:bookmarkEnd w:id="177"/>
    <w:bookmarkStart w:id="178" w:name="overall-impact"/>
    <w:p>
      <w:pPr>
        <w:pStyle w:val="Heading3"/>
      </w:pPr>
      <w:r>
        <w:t xml:space="preserve">8.1.6 Overall Impact</w:t>
      </w:r>
    </w:p>
    <w:p>
      <w:pPr>
        <w:pStyle w:val="FirstParagraph"/>
      </w:pPr>
      <w:r>
        <w:t xml:space="preserve">Together, these developments move CalCOFI toward a</w:t>
      </w:r>
      <w:r>
        <w:t xml:space="preserve"> </w:t>
      </w:r>
      <w:r>
        <w:rPr>
          <w:b/>
          <w:bCs/>
        </w:rPr>
        <w:t xml:space="preserve">modern, integrated data platform</w:t>
      </w:r>
      <w:r>
        <w:t xml:space="preserve">:</w:t>
      </w:r>
    </w:p>
    <w:p>
      <w:pPr>
        <w:pStyle w:val="Compact"/>
        <w:numPr>
          <w:ilvl w:val="0"/>
          <w:numId w:val="1055"/>
        </w:numPr>
      </w:pPr>
      <w:r>
        <w:t xml:space="preserve">Scientists and partners gain a more powerful, user‑friendly app and R toolkit for exploring CalCOFI data.</w:t>
      </w:r>
    </w:p>
    <w:p>
      <w:pPr>
        <w:pStyle w:val="Compact"/>
        <w:numPr>
          <w:ilvl w:val="0"/>
          <w:numId w:val="1055"/>
        </w:numPr>
      </w:pPr>
      <w:r>
        <w:t xml:space="preserve">The underlying database and workflows are more robust, testable, and clearly documented.</w:t>
      </w:r>
    </w:p>
    <w:p>
      <w:pPr>
        <w:pStyle w:val="Compact"/>
        <w:numPr>
          <w:ilvl w:val="0"/>
          <w:numId w:val="1055"/>
        </w:numPr>
      </w:pPr>
      <w:r>
        <w:t xml:space="preserve">CalCOFI’s biological data are better positioned for</w:t>
      </w:r>
      <w:r>
        <w:t xml:space="preserve"> </w:t>
      </w:r>
      <w:r>
        <w:rPr>
          <w:b/>
          <w:bCs/>
        </w:rPr>
        <w:t xml:space="preserve">global visibility and reuse</w:t>
      </w:r>
      <w:r>
        <w:t xml:space="preserve"> </w:t>
      </w:r>
      <w:r>
        <w:t xml:space="preserve">through standards‑compliant publication channels like OBIS.</w:t>
      </w:r>
    </w:p>
    <w:p>
      <w:pPr>
        <w:pStyle w:val="Compact"/>
        <w:numPr>
          <w:ilvl w:val="0"/>
          <w:numId w:val="1055"/>
        </w:numPr>
      </w:pPr>
      <w:r>
        <w:t xml:space="preserve">Public‑facing web presence and infrastructure are cleaner and more aligned, making it easier for stakeholders to find and use CalCOFI resources.</w:t>
      </w:r>
    </w:p>
    <w:bookmarkEnd w:id="178"/>
    <w:bookmarkEnd w:id="179"/>
    <w:bookmarkStart w:id="219" w:name="section-1"/>
    <w:p>
      <w:pPr>
        <w:pStyle w:val="Heading2"/>
      </w:pPr>
      <w:r>
        <w:t xml:space="preserve">8.2 2025-07-01</w:t>
      </w:r>
    </w:p>
    <w:p>
      <w:pPr>
        <w:pStyle w:val="FirstParagraph"/>
      </w:pPr>
      <w:r>
        <w:t xml:space="preserve">This report summarizes the key development activities, major accomplishments, and ongoing work for the first 6 monhts of 2025 across the CalCOFI GitHub repositories:</w:t>
      </w:r>
      <w:r>
        <w:t xml:space="preserve"> </w:t>
      </w:r>
      <w:r>
        <w:rPr>
          <w:b/>
          <w:bCs/>
        </w:rPr>
        <w:t xml:space="preserve">api, apps, calcofi4db, calcofi4r, docs, server, workflows</w:t>
      </w:r>
      <w:r>
        <w:t xml:space="preserve">. The findings are based on issues and commits from January–July 2025.</w:t>
      </w:r>
    </w:p>
    <w:p>
      <w:r>
        <w:pict>
          <v:rect style="width:0;height:1.5pt" o:hralign="center" o:hrstd="t" o:hr="t"/>
        </w:pict>
      </w:r>
    </w:p>
    <w:bookmarkStart w:id="186" w:name="api-enhancements"/>
    <w:p>
      <w:pPr>
        <w:pStyle w:val="Heading3"/>
      </w:pPr>
      <w:r>
        <w:t xml:space="preserve">8.2.1 API Enhancements</w:t>
      </w:r>
    </w:p>
    <w:bookmarkStart w:id="185" w:name="new-features-data-integration"/>
    <w:p>
      <w:pPr>
        <w:pStyle w:val="Heading4"/>
      </w:pPr>
      <w:r>
        <w:t xml:space="preserve">8.2.1.1 New Features &amp; Data Integration</w:t>
      </w:r>
    </w:p>
    <w:p>
      <w:pPr>
        <w:pStyle w:val="Compact"/>
        <w:numPr>
          <w:ilvl w:val="0"/>
          <w:numId w:val="1056"/>
        </w:numPr>
      </w:pPr>
      <w:r>
        <w:rPr>
          <w:b/>
          <w:bCs/>
        </w:rPr>
        <w:t xml:space="preserve">Expanded API Options</w:t>
      </w:r>
    </w:p>
    <w:p>
      <w:pPr>
        <w:pStyle w:val="Compact"/>
        <w:numPr>
          <w:ilvl w:val="1"/>
          <w:numId w:val="1057"/>
        </w:numPr>
      </w:pPr>
      <w:r>
        <w:t xml:space="preserve">Added ability to include bottle data and use relaxed criteria for net-to-cast matching (</w:t>
      </w:r>
      <w:hyperlink r:id="rId180">
        <w:r>
          <w:rPr>
            <w:rStyle w:val="Hyperlink"/>
          </w:rPr>
          <w:t xml:space="preserve">commit</w:t>
        </w:r>
      </w:hyperlink>
      <w:r>
        <w:t xml:space="preserve">).</w:t>
      </w:r>
    </w:p>
    <w:p>
      <w:pPr>
        <w:pStyle w:val="Compact"/>
        <w:numPr>
          <w:ilvl w:val="1"/>
          <w:numId w:val="1057"/>
        </w:numPr>
      </w:pPr>
      <w:r>
        <w:t xml:space="preserve">Supported upcast/downcast data downloads (</w:t>
      </w:r>
      <w:hyperlink r:id="rId181">
        <w:r>
          <w:rPr>
            <w:rStyle w:val="Hyperlink"/>
          </w:rPr>
          <w:t xml:space="preserve">commit</w:t>
        </w:r>
      </w:hyperlink>
      <w:r>
        <w:t xml:space="preserve">).</w:t>
      </w:r>
    </w:p>
    <w:p>
      <w:pPr>
        <w:pStyle w:val="Compact"/>
        <w:numPr>
          <w:ilvl w:val="1"/>
          <w:numId w:val="1057"/>
        </w:numPr>
      </w:pPr>
      <w:r>
        <w:t xml:space="preserve">Added Zooplankton biomass and improved ichthyodata output (</w:t>
      </w:r>
      <w:hyperlink r:id="rId182">
        <w:r>
          <w:rPr>
            <w:rStyle w:val="Hyperlink"/>
          </w:rPr>
          <w:t xml:space="preserve">commit</w:t>
        </w:r>
      </w:hyperlink>
      <w:r>
        <w:t xml:space="preserve">).</w:t>
      </w:r>
    </w:p>
    <w:p>
      <w:pPr>
        <w:pStyle w:val="Compact"/>
        <w:numPr>
          <w:ilvl w:val="0"/>
          <w:numId w:val="1056"/>
        </w:numPr>
      </w:pPr>
      <w:r>
        <w:rPr>
          <w:b/>
          <w:bCs/>
        </w:rPr>
        <w:t xml:space="preserve">Performance &amp; Maintenance</w:t>
      </w:r>
    </w:p>
    <w:p>
      <w:pPr>
        <w:pStyle w:val="Compact"/>
        <w:numPr>
          <w:ilvl w:val="1"/>
          <w:numId w:val="1058"/>
        </w:numPr>
      </w:pPr>
      <w:r>
        <w:t xml:space="preserve">Implemented docker compose restart for Plumber API service (</w:t>
      </w:r>
      <w:hyperlink r:id="rId183">
        <w:r>
          <w:rPr>
            <w:rStyle w:val="Hyperlink"/>
          </w:rPr>
          <w:t xml:space="preserve">commit</w:t>
        </w:r>
      </w:hyperlink>
      <w:r>
        <w:t xml:space="preserve">).</w:t>
      </w:r>
    </w:p>
    <w:p>
      <w:pPr>
        <w:pStyle w:val="Compact"/>
        <w:numPr>
          <w:ilvl w:val="0"/>
          <w:numId w:val="1056"/>
        </w:numPr>
      </w:pPr>
      <w:r>
        <w:rPr>
          <w:b/>
          <w:bCs/>
        </w:rPr>
        <w:t xml:space="preserve">Ongoing Work</w:t>
      </w:r>
    </w:p>
    <w:p>
      <w:pPr>
        <w:pStyle w:val="Compact"/>
        <w:numPr>
          <w:ilvl w:val="1"/>
          <w:numId w:val="1059"/>
        </w:numPr>
      </w:pPr>
      <w:r>
        <w:t xml:space="preserve">Migration of database contouring functions to API/app level for improved caching and rendering efficiency.</w:t>
      </w:r>
    </w:p>
    <w:p>
      <w:pPr>
        <w:pStyle w:val="Compact"/>
        <w:numPr>
          <w:ilvl w:val="1"/>
          <w:numId w:val="1059"/>
        </w:numPr>
      </w:pPr>
      <w:r>
        <w:t xml:space="preserve">Development of a robust, user-friendly API for seamless DB integration (</w:t>
      </w:r>
      <w:hyperlink r:id="rId184">
        <w:r>
          <w:rPr>
            <w:rStyle w:val="Hyperlink"/>
          </w:rPr>
          <w:t xml:space="preserve">issue</w:t>
        </w:r>
      </w:hyperlink>
      <w:r>
        <w:t xml:space="preserve">).</w:t>
      </w:r>
    </w:p>
    <w:p>
      <w:r>
        <w:pict>
          <v:rect style="width:0;height:1.5pt" o:hralign="center" o:hrstd="t" o:hr="t"/>
        </w:pict>
      </w:r>
    </w:p>
    <w:bookmarkEnd w:id="185"/>
    <w:bookmarkEnd w:id="186"/>
    <w:bookmarkStart w:id="189" w:name="apps-development"/>
    <w:p>
      <w:pPr>
        <w:pStyle w:val="Heading3"/>
      </w:pPr>
      <w:r>
        <w:t xml:space="preserve">8.2.2 Apps Development</w:t>
      </w:r>
    </w:p>
    <w:bookmarkStart w:id="188" w:name="visualization-user-interface"/>
    <w:p>
      <w:pPr>
        <w:pStyle w:val="Heading4"/>
      </w:pPr>
      <w:r>
        <w:t xml:space="preserve">8.2.2.1 Visualization &amp; User Interface</w:t>
      </w:r>
    </w:p>
    <w:p>
      <w:pPr>
        <w:pStyle w:val="Compact"/>
        <w:numPr>
          <w:ilvl w:val="0"/>
          <w:numId w:val="1060"/>
        </w:numPr>
      </w:pPr>
      <w:r>
        <w:rPr>
          <w:b/>
          <w:bCs/>
        </w:rPr>
        <w:t xml:space="preserve">Continuous Improvements</w:t>
      </w:r>
    </w:p>
    <w:p>
      <w:pPr>
        <w:pStyle w:val="Compact"/>
        <w:numPr>
          <w:ilvl w:val="1"/>
          <w:numId w:val="1061"/>
        </w:numPr>
      </w:pPr>
      <w:r>
        <w:t xml:space="preserve">Multiple commits indicate ongoing enhancement, likely focused on UI, data visualization, and integration with the API (see</w:t>
      </w:r>
      <w:r>
        <w:t xml:space="preserve"> </w:t>
      </w:r>
      <w:hyperlink r:id="rId187">
        <w:r>
          <w:rPr>
            <w:rStyle w:val="Hyperlink"/>
          </w:rPr>
          <w:t xml:space="preserve">recent commit log</w:t>
        </w:r>
      </w:hyperlink>
      <w:r>
        <w:t xml:space="preserve">).</w:t>
      </w:r>
    </w:p>
    <w:p>
      <w:pPr>
        <w:pStyle w:val="Compact"/>
        <w:numPr>
          <w:ilvl w:val="1"/>
          <w:numId w:val="1061"/>
        </w:numPr>
      </w:pPr>
      <w:r>
        <w:t xml:space="preserve">Close coordination between API and Apps for improved workflows and data access.</w:t>
      </w:r>
    </w:p>
    <w:p>
      <w:r>
        <w:pict>
          <v:rect style="width:0;height:1.5pt" o:hralign="center" o:hrstd="t" o:hr="t"/>
        </w:pict>
      </w:r>
    </w:p>
    <w:bookmarkEnd w:id="188"/>
    <w:bookmarkEnd w:id="189"/>
    <w:bookmarkStart w:id="195" w:name="calcofi4db-r-package-data-management"/>
    <w:p>
      <w:pPr>
        <w:pStyle w:val="Heading3"/>
      </w:pPr>
      <w:r>
        <w:t xml:space="preserve">8.2.3 calcofi4db: R Package &amp; Data Management</w:t>
      </w:r>
    </w:p>
    <w:bookmarkStart w:id="194" w:name="r-package-initialization-data-ingestion"/>
    <w:p>
      <w:pPr>
        <w:pStyle w:val="Heading4"/>
      </w:pPr>
      <w:r>
        <w:t xml:space="preserve">8.2.3.1 R Package Initialization &amp; Data Ingestion</w:t>
      </w:r>
    </w:p>
    <w:p>
      <w:pPr>
        <w:pStyle w:val="Compact"/>
        <w:numPr>
          <w:ilvl w:val="0"/>
          <w:numId w:val="1062"/>
        </w:numPr>
      </w:pPr>
      <w:r>
        <w:rPr>
          <w:b/>
          <w:bCs/>
        </w:rPr>
        <w:t xml:space="preserve">New R Package: calcofi4db</w:t>
      </w:r>
    </w:p>
    <w:p>
      <w:pPr>
        <w:pStyle w:val="Compact"/>
        <w:numPr>
          <w:ilvl w:val="1"/>
          <w:numId w:val="1063"/>
        </w:numPr>
      </w:pPr>
      <w:r>
        <w:t xml:space="preserve">Initial commit and setup (</w:t>
      </w:r>
      <w:hyperlink r:id="rId190">
        <w:r>
          <w:rPr>
            <w:rStyle w:val="Hyperlink"/>
          </w:rPr>
          <w:t xml:space="preserve">commit</w:t>
        </w:r>
      </w:hyperlink>
      <w:r>
        <w:t xml:space="preserve">), including functions for ingesting CSV datasets and metadata.</w:t>
      </w:r>
    </w:p>
    <w:p>
      <w:pPr>
        <w:pStyle w:val="Compact"/>
        <w:numPr>
          <w:ilvl w:val="1"/>
          <w:numId w:val="1063"/>
        </w:numPr>
      </w:pPr>
      <w:r>
        <w:t xml:space="preserve">Refined change detection logic for source CSV files, improving tracking of table/field changes (</w:t>
      </w:r>
      <w:hyperlink r:id="rId191">
        <w:r>
          <w:rPr>
            <w:rStyle w:val="Hyperlink"/>
          </w:rPr>
          <w:t xml:space="preserve">commit</w:t>
        </w:r>
      </w:hyperlink>
      <w:r>
        <w:t xml:space="preserve">).</w:t>
      </w:r>
    </w:p>
    <w:p>
      <w:pPr>
        <w:pStyle w:val="Compact"/>
        <w:numPr>
          <w:ilvl w:val="1"/>
          <w:numId w:val="1063"/>
        </w:numPr>
      </w:pPr>
      <w:r>
        <w:t xml:space="preserve">Enhanced documentation and site via pkgdown.</w:t>
      </w:r>
    </w:p>
    <w:p>
      <w:pPr>
        <w:pStyle w:val="Compact"/>
        <w:numPr>
          <w:ilvl w:val="1"/>
          <w:numId w:val="1063"/>
        </w:numPr>
      </w:pPr>
      <w:r>
        <w:t xml:space="preserve">Improved function naming and structure for ingestion (</w:t>
      </w:r>
      <w:hyperlink r:id="rId192">
        <w:r>
          <w:rPr>
            <w:rStyle w:val="Hyperlink"/>
          </w:rPr>
          <w:t xml:space="preserve">commits</w:t>
        </w:r>
      </w:hyperlink>
      <w:r>
        <w:t xml:space="preserve">,</w:t>
      </w:r>
      <w:r>
        <w:t xml:space="preserve"> </w:t>
      </w:r>
      <w:hyperlink r:id="rId193">
        <w:r>
          <w:rPr>
            <w:rStyle w:val="Hyperlink"/>
          </w:rPr>
          <w:t xml:space="preserve">commit</w:t>
        </w:r>
      </w:hyperlink>
      <w:r>
        <w:t xml:space="preserve">).</w:t>
      </w:r>
    </w:p>
    <w:p>
      <w:r>
        <w:pict>
          <v:rect style="width:0;height:1.5pt" o:hralign="center" o:hrstd="t" o:hr="t"/>
        </w:pict>
      </w:r>
    </w:p>
    <w:bookmarkEnd w:id="194"/>
    <w:bookmarkEnd w:id="195"/>
    <w:bookmarkStart w:id="201" w:name="calcofi4r-spatial-ecological-data-tools"/>
    <w:p>
      <w:pPr>
        <w:pStyle w:val="Heading3"/>
      </w:pPr>
      <w:r>
        <w:t xml:space="preserve">8.2.4 calcofi4r: Spatial &amp; Ecological Data Tools</w:t>
      </w:r>
    </w:p>
    <w:bookmarkStart w:id="200" w:name="data-layers-analysis-and-bug-fixes"/>
    <w:p>
      <w:pPr>
        <w:pStyle w:val="Heading4"/>
      </w:pPr>
      <w:r>
        <w:t xml:space="preserve">8.2.4.1 Data Layers, Analysis, and Bug Fixes</w:t>
      </w:r>
    </w:p>
    <w:p>
      <w:pPr>
        <w:pStyle w:val="Compact"/>
        <w:numPr>
          <w:ilvl w:val="0"/>
          <w:numId w:val="1064"/>
        </w:numPr>
      </w:pPr>
      <w:r>
        <w:rPr>
          <w:b/>
          <w:bCs/>
        </w:rPr>
        <w:t xml:space="preserve">Spatial Management Layers</w:t>
      </w:r>
    </w:p>
    <w:p>
      <w:pPr>
        <w:pStyle w:val="Compact"/>
        <w:numPr>
          <w:ilvl w:val="1"/>
          <w:numId w:val="1065"/>
        </w:numPr>
      </w:pPr>
      <w:r>
        <w:t xml:space="preserve">Ongoing integration of BOEM Wind Planning Areas, Marine Protected Areas, and SCCWRP management regions (</w:t>
      </w:r>
      <w:hyperlink r:id="rId196">
        <w:r>
          <w:rPr>
            <w:rStyle w:val="Hyperlink"/>
          </w:rPr>
          <w:t xml:space="preserve">issue</w:t>
        </w:r>
      </w:hyperlink>
      <w:r>
        <w:t xml:space="preserve">,</w:t>
      </w:r>
      <w:r>
        <w:t xml:space="preserve"> </w:t>
      </w:r>
      <w:hyperlink r:id="rId197">
        <w:r>
          <w:rPr>
            <w:rStyle w:val="Hyperlink"/>
          </w:rPr>
          <w:t xml:space="preserve">issue</w:t>
        </w:r>
      </w:hyperlink>
      <w:r>
        <w:t xml:space="preserve">).</w:t>
      </w:r>
    </w:p>
    <w:p>
      <w:pPr>
        <w:pStyle w:val="Compact"/>
        <w:numPr>
          <w:ilvl w:val="0"/>
          <w:numId w:val="1064"/>
        </w:numPr>
      </w:pPr>
      <w:r>
        <w:rPr>
          <w:b/>
          <w:bCs/>
        </w:rPr>
        <w:t xml:space="preserve">Analysis Functions</w:t>
      </w:r>
    </w:p>
    <w:p>
      <w:pPr>
        <w:pStyle w:val="Compact"/>
        <w:numPr>
          <w:ilvl w:val="1"/>
          <w:numId w:val="1066"/>
        </w:numPr>
      </w:pPr>
      <w:r>
        <w:t xml:space="preserve">Improved packages for ecological and spatial analysis, including new dependencies (</w:t>
      </w:r>
      <w:hyperlink r:id="rId198">
        <w:r>
          <w:rPr>
            <w:rStyle w:val="Hyperlink"/>
          </w:rPr>
          <w:t xml:space="preserve">commit</w:t>
        </w:r>
      </w:hyperlink>
      <w:r>
        <w:t xml:space="preserve">).</w:t>
      </w:r>
    </w:p>
    <w:p>
      <w:pPr>
        <w:pStyle w:val="Compact"/>
        <w:numPr>
          <w:ilvl w:val="0"/>
          <w:numId w:val="1064"/>
        </w:numPr>
      </w:pPr>
      <w:r>
        <w:rPr>
          <w:b/>
          <w:bCs/>
        </w:rPr>
        <w:t xml:space="preserve">User Feedback</w:t>
      </w:r>
    </w:p>
    <w:p>
      <w:pPr>
        <w:pStyle w:val="Compact"/>
        <w:numPr>
          <w:ilvl w:val="1"/>
          <w:numId w:val="1067"/>
        </w:numPr>
      </w:pPr>
      <w:r>
        <w:t xml:space="preserve">Addressing user-reported bugs such as deprecated function calls (</w:t>
      </w:r>
      <w:hyperlink r:id="rId199">
        <w:r>
          <w:rPr>
            <w:rStyle w:val="Hyperlink"/>
          </w:rPr>
          <w:t xml:space="preserve">issue</w:t>
        </w:r>
      </w:hyperlink>
      <w:r>
        <w:t xml:space="preserve">).</w:t>
      </w:r>
    </w:p>
    <w:p>
      <w:r>
        <w:pict>
          <v:rect style="width:0;height:1.5pt" o:hralign="center" o:hrstd="t" o:hr="t"/>
        </w:pict>
      </w:r>
    </w:p>
    <w:bookmarkEnd w:id="200"/>
    <w:bookmarkEnd w:id="201"/>
    <w:bookmarkStart w:id="205" w:name="documentation-docs"/>
    <w:p>
      <w:pPr>
        <w:pStyle w:val="Heading3"/>
      </w:pPr>
      <w:r>
        <w:t xml:space="preserve">8.2.5 Documentation (docs)</w:t>
      </w:r>
    </w:p>
    <w:bookmarkStart w:id="204" w:name="infrastructure-environment"/>
    <w:p>
      <w:pPr>
        <w:pStyle w:val="Heading4"/>
      </w:pPr>
      <w:r>
        <w:t xml:space="preserve">8.2.5.1 Infrastructure &amp; Environment</w:t>
      </w:r>
    </w:p>
    <w:p>
      <w:pPr>
        <w:pStyle w:val="Compact"/>
        <w:numPr>
          <w:ilvl w:val="0"/>
          <w:numId w:val="1068"/>
        </w:numPr>
      </w:pPr>
      <w:r>
        <w:rPr>
          <w:b/>
          <w:bCs/>
        </w:rPr>
        <w:t xml:space="preserve">Documentation Site Updates</w:t>
      </w:r>
    </w:p>
    <w:p>
      <w:pPr>
        <w:pStyle w:val="Compact"/>
        <w:numPr>
          <w:ilvl w:val="1"/>
          <w:numId w:val="1069"/>
        </w:numPr>
      </w:pPr>
      <w:r>
        <w:t xml:space="preserve">Added documentation for new packages and ingestion workflows (</w:t>
      </w:r>
      <w:hyperlink r:id="rId202">
        <w:r>
          <w:rPr>
            <w:rStyle w:val="Hyperlink"/>
          </w:rPr>
          <w:t xml:space="preserve">commit</w:t>
        </w:r>
      </w:hyperlink>
      <w:r>
        <w:t xml:space="preserve">).</w:t>
      </w:r>
    </w:p>
    <w:p>
      <w:pPr>
        <w:pStyle w:val="Compact"/>
        <w:numPr>
          <w:ilvl w:val="1"/>
          <w:numId w:val="1069"/>
        </w:numPr>
      </w:pPr>
      <w:r>
        <w:t xml:space="preserve">Improved environment handling for rendering with Quarto and Chromium (</w:t>
      </w:r>
      <w:hyperlink r:id="rId203">
        <w:r>
          <w:rPr>
            <w:rStyle w:val="Hyperlink"/>
          </w:rPr>
          <w:t xml:space="preserve">multiple commits Jan-Mar 2025</w:t>
        </w:r>
      </w:hyperlink>
      <w:r>
        <w:t xml:space="preserve">).</w:t>
      </w:r>
    </w:p>
    <w:p>
      <w:pPr>
        <w:pStyle w:val="Compact"/>
        <w:numPr>
          <w:ilvl w:val="1"/>
          <w:numId w:val="1069"/>
        </w:numPr>
      </w:pPr>
      <w:r>
        <w:t xml:space="preserve">Updated diagrams and edge labels for database documentation.</w:t>
      </w:r>
    </w:p>
    <w:p>
      <w:r>
        <w:pict>
          <v:rect style="width:0;height:1.5pt" o:hralign="center" o:hrstd="t" o:hr="t"/>
        </w:pict>
      </w:r>
    </w:p>
    <w:bookmarkEnd w:id="204"/>
    <w:bookmarkEnd w:id="205"/>
    <w:bookmarkStart w:id="207" w:name="server"/>
    <w:p>
      <w:pPr>
        <w:pStyle w:val="Heading3"/>
      </w:pPr>
      <w:r>
        <w:t xml:space="preserve">8.2.6 Server</w:t>
      </w:r>
    </w:p>
    <w:bookmarkStart w:id="206" w:name="backend-infrastructure"/>
    <w:p>
      <w:pPr>
        <w:pStyle w:val="Heading4"/>
      </w:pPr>
      <w:r>
        <w:t xml:space="preserve">8.2.6.1 Backend Infrastructure</w:t>
      </w:r>
    </w:p>
    <w:p>
      <w:pPr>
        <w:pStyle w:val="Compact"/>
        <w:numPr>
          <w:ilvl w:val="0"/>
          <w:numId w:val="1070"/>
        </w:numPr>
      </w:pPr>
      <w:r>
        <w:rPr>
          <w:b/>
          <w:bCs/>
        </w:rPr>
        <w:t xml:space="preserve">Backend Maintenance</w:t>
      </w:r>
    </w:p>
    <w:p>
      <w:pPr>
        <w:pStyle w:val="Compact"/>
        <w:numPr>
          <w:ilvl w:val="1"/>
          <w:numId w:val="1071"/>
        </w:numPr>
      </w:pPr>
      <w:r>
        <w:t xml:space="preserve">Numerous commits for improving server reliability, configuration, and deployment.</w:t>
      </w:r>
    </w:p>
    <w:p>
      <w:pPr>
        <w:pStyle w:val="Compact"/>
        <w:numPr>
          <w:ilvl w:val="1"/>
          <w:numId w:val="1071"/>
        </w:numPr>
      </w:pPr>
      <w:r>
        <w:t xml:space="preserve">Indicates active backend support for API and Apps.</w:t>
      </w:r>
    </w:p>
    <w:p>
      <w:r>
        <w:pict>
          <v:rect style="width:0;height:1.5pt" o:hralign="center" o:hrstd="t" o:hr="t"/>
        </w:pict>
      </w:r>
    </w:p>
    <w:bookmarkEnd w:id="206"/>
    <w:bookmarkEnd w:id="207"/>
    <w:bookmarkStart w:id="212" w:name="workflows"/>
    <w:p>
      <w:pPr>
        <w:pStyle w:val="Heading3"/>
      </w:pPr>
      <w:r>
        <w:t xml:space="preserve">8.2.7 Workflows</w:t>
      </w:r>
    </w:p>
    <w:bookmarkStart w:id="211" w:name="X9992dbdca38798687025ab1100a6897f17837b4"/>
    <w:p>
      <w:pPr>
        <w:pStyle w:val="Heading4"/>
      </w:pPr>
      <w:r>
        <w:t xml:space="preserve">8.2.7.1 Data Pipeline, Integration, and Registration</w:t>
      </w:r>
    </w:p>
    <w:p>
      <w:pPr>
        <w:pStyle w:val="Compact"/>
        <w:numPr>
          <w:ilvl w:val="0"/>
          <w:numId w:val="1072"/>
        </w:numPr>
      </w:pPr>
      <w:r>
        <w:rPr>
          <w:b/>
          <w:bCs/>
        </w:rPr>
        <w:t xml:space="preserve">Workflow Automation</w:t>
      </w:r>
    </w:p>
    <w:p>
      <w:pPr>
        <w:pStyle w:val="Compact"/>
        <w:numPr>
          <w:ilvl w:val="1"/>
          <w:numId w:val="1073"/>
        </w:numPr>
      </w:pPr>
      <w:r>
        <w:t xml:space="preserve">Multiple commits show ongoing development of data ingestion, harmonization, and visualization workflows (</w:t>
      </w:r>
      <w:hyperlink r:id="rId208">
        <w:r>
          <w:rPr>
            <w:rStyle w:val="Hyperlink"/>
          </w:rPr>
          <w:t xml:space="preserve">commit</w:t>
        </w:r>
      </w:hyperlink>
      <w:r>
        <w:t xml:space="preserve">,</w:t>
      </w:r>
      <w:r>
        <w:t xml:space="preserve"> </w:t>
      </w:r>
      <w:hyperlink r:id="rId209">
        <w:r>
          <w:rPr>
            <w:rStyle w:val="Hyperlink"/>
          </w:rPr>
          <w:t xml:space="preserve">commit</w:t>
        </w:r>
      </w:hyperlink>
      <w:r>
        <w:t xml:space="preserve">).</w:t>
      </w:r>
    </w:p>
    <w:p>
      <w:pPr>
        <w:pStyle w:val="Compact"/>
        <w:numPr>
          <w:ilvl w:val="0"/>
          <w:numId w:val="1072"/>
        </w:numPr>
      </w:pPr>
      <w:r>
        <w:rPr>
          <w:b/>
          <w:bCs/>
        </w:rPr>
        <w:t xml:space="preserve">ODIS Registration</w:t>
      </w:r>
    </w:p>
    <w:p>
      <w:pPr>
        <w:pStyle w:val="Compact"/>
        <w:numPr>
          <w:ilvl w:val="1"/>
          <w:numId w:val="1074"/>
        </w:numPr>
      </w:pPr>
      <w:r>
        <w:t xml:space="preserve">Registering datasets with ODIS (using JSON-LD) for broader interoperability (</w:t>
      </w:r>
      <w:hyperlink r:id="rId210">
        <w:r>
          <w:rPr>
            <w:rStyle w:val="Hyperlink"/>
          </w:rPr>
          <w:t xml:space="preserve">issue</w:t>
        </w:r>
      </w:hyperlink>
      <w:r>
        <w:t xml:space="preserve">).</w:t>
      </w:r>
    </w:p>
    <w:p>
      <w:pPr>
        <w:pStyle w:val="Compact"/>
        <w:numPr>
          <w:ilvl w:val="0"/>
          <w:numId w:val="1072"/>
        </w:numPr>
      </w:pPr>
      <w:r>
        <w:rPr>
          <w:b/>
          <w:bCs/>
        </w:rPr>
        <w:t xml:space="preserve">Integration with External Data</w:t>
      </w:r>
    </w:p>
    <w:p>
      <w:pPr>
        <w:pStyle w:val="Compact"/>
        <w:numPr>
          <w:ilvl w:val="1"/>
          <w:numId w:val="1075"/>
        </w:numPr>
      </w:pPr>
      <w:r>
        <w:t xml:space="preserve">Ongoing work to load and harmonize diverse ecological datasets (bottle data, larvae, zooplankton, etc.).</w:t>
      </w:r>
    </w:p>
    <w:p>
      <w:pPr>
        <w:pStyle w:val="Compact"/>
        <w:numPr>
          <w:ilvl w:val="0"/>
          <w:numId w:val="1072"/>
        </w:numPr>
      </w:pPr>
      <w:r>
        <w:rPr>
          <w:b/>
          <w:bCs/>
        </w:rPr>
        <w:t xml:space="preserve">Spatial Data Management</w:t>
      </w:r>
    </w:p>
    <w:p>
      <w:pPr>
        <w:pStyle w:val="Compact"/>
        <w:numPr>
          <w:ilvl w:val="1"/>
          <w:numId w:val="1076"/>
        </w:numPr>
      </w:pPr>
      <w:r>
        <w:t xml:space="preserve">Continued development of AOI (areas of interest), spatial buffer creation, and integration of management regions.</w:t>
      </w:r>
    </w:p>
    <w:p>
      <w:r>
        <w:pict>
          <v:rect style="width:0;height:1.5pt" o:hralign="center" o:hrstd="t" o:hr="t"/>
        </w:pict>
      </w:r>
    </w:p>
    <w:bookmarkEnd w:id="211"/>
    <w:bookmarkEnd w:id="212"/>
    <w:bookmarkStart w:id="216" w:name="key-themes-impact"/>
    <w:p>
      <w:pPr>
        <w:pStyle w:val="Heading3"/>
      </w:pPr>
      <w:r>
        <w:t xml:space="preserve">8.2.8 Key Themes &amp; Impact</w:t>
      </w:r>
    </w:p>
    <w:bookmarkStart w:id="213" w:name="integration-interoperability"/>
    <w:p>
      <w:pPr>
        <w:pStyle w:val="Heading4"/>
      </w:pPr>
      <w:r>
        <w:t xml:space="preserve">8.2.8.1 Integration &amp; Interoperability</w:t>
      </w:r>
    </w:p>
    <w:p>
      <w:pPr>
        <w:pStyle w:val="Compact"/>
        <w:numPr>
          <w:ilvl w:val="0"/>
          <w:numId w:val="1077"/>
        </w:numPr>
      </w:pPr>
      <w:r>
        <w:t xml:space="preserve">Strong focus on connecting API, Apps, R packages, and backend infrastructure for seamless data access and visualization.</w:t>
      </w:r>
    </w:p>
    <w:p>
      <w:pPr>
        <w:pStyle w:val="Compact"/>
        <w:numPr>
          <w:ilvl w:val="0"/>
          <w:numId w:val="1077"/>
        </w:numPr>
      </w:pPr>
      <w:r>
        <w:t xml:space="preserve">Enhanced interoperability through ODIS registration and harmonized workflows.</w:t>
      </w:r>
    </w:p>
    <w:bookmarkEnd w:id="213"/>
    <w:bookmarkStart w:id="214" w:name="data-accessibility-usability"/>
    <w:p>
      <w:pPr>
        <w:pStyle w:val="Heading4"/>
      </w:pPr>
      <w:r>
        <w:t xml:space="preserve">8.2.8.2 Data Accessibility &amp; Usability</w:t>
      </w:r>
    </w:p>
    <w:p>
      <w:pPr>
        <w:pStyle w:val="Compact"/>
        <w:numPr>
          <w:ilvl w:val="0"/>
          <w:numId w:val="1078"/>
        </w:numPr>
      </w:pPr>
      <w:r>
        <w:t xml:space="preserve">Improvements to API and Apps make ecological data more accessible to researchers and managers.</w:t>
      </w:r>
    </w:p>
    <w:p>
      <w:pPr>
        <w:pStyle w:val="Compact"/>
        <w:numPr>
          <w:ilvl w:val="0"/>
          <w:numId w:val="1078"/>
        </w:numPr>
      </w:pPr>
      <w:r>
        <w:t xml:space="preserve">Expanded support for spatial management areas and ecological datasets.</w:t>
      </w:r>
    </w:p>
    <w:bookmarkEnd w:id="214"/>
    <w:bookmarkStart w:id="215" w:name="infrastructure-sustainability"/>
    <w:p>
      <w:pPr>
        <w:pStyle w:val="Heading4"/>
      </w:pPr>
      <w:r>
        <w:t xml:space="preserve">8.2.8.3 Infrastructure &amp; Sustainability</w:t>
      </w:r>
    </w:p>
    <w:p>
      <w:pPr>
        <w:pStyle w:val="Compact"/>
        <w:numPr>
          <w:ilvl w:val="0"/>
          <w:numId w:val="1079"/>
        </w:numPr>
      </w:pPr>
      <w:r>
        <w:t xml:space="preserve">Investments in documentation, backend reliability, and workflow automation contribute to long-term sustainability and reproducibility.</w:t>
      </w:r>
    </w:p>
    <w:p>
      <w:r>
        <w:pict>
          <v:rect style="width:0;height:1.5pt" o:hralign="center" o:hrstd="t" o:hr="t"/>
        </w:pict>
      </w:r>
    </w:p>
    <w:bookmarkEnd w:id="215"/>
    <w:bookmarkEnd w:id="216"/>
    <w:bookmarkStart w:id="218" w:name="for-more-details"/>
    <w:p>
      <w:pPr>
        <w:pStyle w:val="Heading3"/>
      </w:pPr>
      <w:r>
        <w:t xml:space="preserve">8.2.9 For More Details</w:t>
      </w:r>
    </w:p>
    <w:p>
      <w:pPr>
        <w:pStyle w:val="Compact"/>
        <w:numPr>
          <w:ilvl w:val="0"/>
          <w:numId w:val="1080"/>
        </w:numPr>
      </w:pPr>
      <w:r>
        <w:t xml:space="preserve">Some results may be incomplete due to API limits.</w:t>
      </w:r>
      <w:r>
        <w:br/>
      </w:r>
    </w:p>
    <w:p>
      <w:pPr>
        <w:pStyle w:val="Compact"/>
        <w:numPr>
          <w:ilvl w:val="0"/>
          <w:numId w:val="1080"/>
        </w:numPr>
      </w:pPr>
      <w:r>
        <w:t xml:space="preserve">To view all commits/issues for 2025, visit each repository’s</w:t>
      </w:r>
      <w:r>
        <w:t xml:space="preserve"> </w:t>
      </w:r>
      <w:hyperlink r:id="rId217">
        <w:r>
          <w:rPr>
            <w:rStyle w:val="Hyperlink"/>
          </w:rPr>
          <w:t xml:space="preserve">GitHub UI</w:t>
        </w:r>
      </w:hyperlink>
      <w:r>
        <w:t xml:space="preserve"> </w:t>
      </w:r>
      <w:r>
        <w:t xml:space="preserve">and filter by year.</w:t>
      </w:r>
    </w:p>
    <w:bookmarkEnd w:id="218"/>
    <w:bookmarkEnd w:id="219"/>
    <w:bookmarkEnd w:id="220"/>
    <w:bookmarkStart w:id="229" w:name="references"/>
    <w:p>
      <w:pPr>
        <w:pStyle w:val="Heading1"/>
      </w:pPr>
      <w:r>
        <w:t xml:space="preserve">9. References</w:t>
      </w:r>
    </w:p>
    <w:bookmarkStart w:id="228" w:name="r-packages"/>
    <w:p>
      <w:pPr>
        <w:pStyle w:val="Heading2"/>
      </w:pPr>
      <w:r>
        <w:t xml:space="preserve">9.1 R packages</w:t>
      </w:r>
    </w:p>
    <w:p>
      <w:pPr>
        <w:pStyle w:val="Compact"/>
        <w:numPr>
          <w:ilvl w:val="0"/>
          <w:numId w:val="1081"/>
        </w:numPr>
      </w:pPr>
      <w:r>
        <w:t xml:space="preserve">API: plumber</w:t>
      </w:r>
      <w:r>
        <w:t xml:space="preserve"> </w:t>
      </w:r>
      <w:r>
        <w:t xml:space="preserve">(</w:t>
      </w:r>
      <w:hyperlink w:anchor="ref-R-plumber">
        <w:r>
          <w:rPr>
            <w:rStyle w:val="Hyperlink"/>
          </w:rPr>
          <w:t xml:space="preserve">Schloerke and Allen 2024</w:t>
        </w:r>
      </w:hyperlink>
      <w:r>
        <w:t xml:space="preserve">)</w:t>
      </w:r>
    </w:p>
    <w:p>
      <w:pPr>
        <w:pStyle w:val="Compact"/>
        <w:numPr>
          <w:ilvl w:val="0"/>
          <w:numId w:val="1081"/>
        </w:numPr>
      </w:pPr>
      <w:r>
        <w:t xml:space="preserve">docs: Quarto</w:t>
      </w:r>
      <w:r>
        <w:t xml:space="preserve"> </w:t>
      </w:r>
      <w:r>
        <w:t xml:space="preserve">(</w:t>
      </w:r>
      <w:hyperlink w:anchor="ref-R-quarto">
        <w:r>
          <w:rPr>
            <w:rStyle w:val="Hyperlink"/>
          </w:rPr>
          <w:t xml:space="preserve">Allaire and Dervieux 2024</w:t>
        </w:r>
      </w:hyperlink>
      <w:r>
        <w:t xml:space="preserve">)</w:t>
      </w:r>
    </w:p>
    <w:p>
      <w:pPr>
        <w:pStyle w:val="Compact"/>
        <w:numPr>
          <w:ilvl w:val="0"/>
          <w:numId w:val="1081"/>
        </w:numPr>
      </w:pPr>
      <w:r>
        <w:t xml:space="preserve">apps: Shiny</w:t>
      </w:r>
      <w:r>
        <w:t xml:space="preserve"> </w:t>
      </w:r>
      <w:r>
        <w:t xml:space="preserve">(</w:t>
      </w:r>
      <w:hyperlink w:anchor="ref-R-shiny">
        <w:r>
          <w:rPr>
            <w:rStyle w:val="Hyperlink"/>
          </w:rPr>
          <w:t xml:space="preserve">Chang et al. 2024</w:t>
        </w:r>
      </w:hyperlink>
      <w:r>
        <w:t xml:space="preserve">)</w:t>
      </w:r>
    </w:p>
    <w:bookmarkStart w:id="227" w:name="refs"/>
    <w:bookmarkStart w:id="222" w:name="ref-R-quarto"/>
    <w:p>
      <w:pPr>
        <w:pStyle w:val="Bibliography"/>
      </w:pPr>
      <w:r>
        <w:t xml:space="preserve">Allaire, JJ, and Christophe Dervieux. 2024.</w:t>
      </w:r>
      <w:r>
        <w:t xml:space="preserve"> </w:t>
      </w:r>
      <w:r>
        <w:rPr>
          <w:i/>
          <w:iCs/>
        </w:rPr>
        <w:t xml:space="preserve">Quarto: R Interface to Quarto Markdown Publishing System</w:t>
      </w:r>
      <w:r>
        <w:t xml:space="preserve">.</w:t>
      </w:r>
      <w:r>
        <w:t xml:space="preserve"> </w:t>
      </w:r>
      <w:hyperlink r:id="rId221">
        <w:r>
          <w:rPr>
            <w:rStyle w:val="Hyperlink"/>
          </w:rPr>
          <w:t xml:space="preserve">https://github.com/quarto-dev/quarto-r</w:t>
        </w:r>
      </w:hyperlink>
      <w:r>
        <w:t xml:space="preserve">.</w:t>
      </w:r>
    </w:p>
    <w:bookmarkEnd w:id="222"/>
    <w:bookmarkStart w:id="224" w:name="ref-R-shiny"/>
    <w:p>
      <w:pPr>
        <w:pStyle w:val="Bibliography"/>
      </w:pPr>
      <w:r>
        <w:t xml:space="preserve">Chang, Winston, Joe Cheng, JJ Allaire, et al. 2024.</w:t>
      </w:r>
      <w:r>
        <w:t xml:space="preserve"> </w:t>
      </w:r>
      <w:r>
        <w:rPr>
          <w:i/>
          <w:iCs/>
        </w:rPr>
        <w:t xml:space="preserve">Shiny: Web Application Framework for r</w:t>
      </w:r>
      <w:r>
        <w:t xml:space="preserve">.</w:t>
      </w:r>
      <w:r>
        <w:t xml:space="preserve"> </w:t>
      </w:r>
      <w:hyperlink r:id="rId223">
        <w:r>
          <w:rPr>
            <w:rStyle w:val="Hyperlink"/>
          </w:rPr>
          <w:t xml:space="preserve">https://shiny.posit.co/</w:t>
        </w:r>
      </w:hyperlink>
      <w:r>
        <w:t xml:space="preserve">.</w:t>
      </w:r>
    </w:p>
    <w:bookmarkEnd w:id="224"/>
    <w:bookmarkStart w:id="226" w:name="ref-R-plumber"/>
    <w:p>
      <w:pPr>
        <w:pStyle w:val="Bibliography"/>
      </w:pPr>
      <w:r>
        <w:t xml:space="preserve">Schloerke, Barret, and Jeff Allen. 2024.</w:t>
      </w:r>
      <w:r>
        <w:t xml:space="preserve"> </w:t>
      </w:r>
      <w:r>
        <w:rPr>
          <w:i/>
          <w:iCs/>
        </w:rPr>
        <w:t xml:space="preserve">Plumber: An API Generator for r</w:t>
      </w:r>
      <w:r>
        <w:t xml:space="preserve">.</w:t>
      </w:r>
      <w:r>
        <w:t xml:space="preserve"> </w:t>
      </w:r>
      <w:hyperlink r:id="rId225">
        <w:r>
          <w:rPr>
            <w:rStyle w:val="Hyperlink"/>
          </w:rPr>
          <w:t xml:space="preserve">https://www.rplumber.io</w:t>
        </w:r>
      </w:hyperlink>
      <w:r>
        <w:t xml:space="preserve">.</w:t>
      </w:r>
    </w:p>
    <w:bookmarkEnd w:id="226"/>
    <w:bookmarkEnd w:id="227"/>
    <w:bookmarkEnd w:id="228"/>
    <w:bookmarkEnd w:id="22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04" Target="media/rId104.png" /><Relationship Type="http://schemas.openxmlformats.org/officeDocument/2006/relationships/image" Id="rId31" Target="media/rId31.png" /><Relationship Type="http://schemas.openxmlformats.org/officeDocument/2006/relationships/image" Id="rId9" Target="media/rId9.svg" /><Relationship Type="http://schemas.openxmlformats.org/officeDocument/2006/relationships/image" Id="rId42" Target="media/rId42.png" /><Relationship Type="http://schemas.openxmlformats.org/officeDocument/2006/relationships/image" Id="rId54" Target="media/rId54.png" /><Relationship Type="http://schemas.openxmlformats.org/officeDocument/2006/relationships/image" Id="rId48" Target="media/rId48.png" /><Relationship Type="http://schemas.openxmlformats.org/officeDocument/2006/relationships/image" Id="rId12" Target="media/rId12.png" /><Relationship Type="http://schemas.openxmlformats.org/officeDocument/2006/relationships/image" Id="rId134" Target="media/rId134.png" /><Relationship Type="http://schemas.openxmlformats.org/officeDocument/2006/relationships/image" Id="rId155" Target="media/rId155.png" /><Relationship Type="http://schemas.openxmlformats.org/officeDocument/2006/relationships/hyperlink" Id="rId53" Target="db.qmd" TargetMode="External" /><Relationship Type="http://schemas.openxmlformats.org/officeDocument/2006/relationships/hyperlink" Id="rId141" Target="http://portal.edirepository.org:80/nis/simpleSearch?defType=edismax&amp;q=CalCOFI&amp;fq=-scope:ecotrends&amp;fq=-scope:lter-landsat*&amp;fl=id,packageid,title,author,organization,pubdate,coordinates&amp;debug=false" TargetMode="External" /><Relationship Type="http://schemas.openxmlformats.org/officeDocument/2006/relationships/hyperlink" Id="rId73" Target="https://api.calcofi.io" TargetMode="External" /><Relationship Type="http://schemas.openxmlformats.org/officeDocument/2006/relationships/hyperlink" Id="rId125" Target="https://api.calcofi.io/db_columns" TargetMode="External" /><Relationship Type="http://schemas.openxmlformats.org/officeDocument/2006/relationships/hyperlink" Id="rId114" Target="https://api.calcofi.io/db_tables" TargetMode="External" /><Relationship Type="http://schemas.openxmlformats.org/officeDocument/2006/relationships/hyperlink" Id="rId34" Target="https://app.calcofi.io/int" TargetMode="External" /><Relationship Type="http://schemas.openxmlformats.org/officeDocument/2006/relationships/hyperlink" Id="rId15" Target="https://calcofi.github.io/calcofi4r/reference/index.html" TargetMode="External" /><Relationship Type="http://schemas.openxmlformats.org/officeDocument/2006/relationships/hyperlink" Id="rId169" Target="https://calcofi.io" TargetMode="External" /><Relationship Type="http://schemas.openxmlformats.org/officeDocument/2006/relationships/hyperlink" Id="rId167" Target="https://calcofi.io/calcofi4r" TargetMode="External" /><Relationship Type="http://schemas.openxmlformats.org/officeDocument/2006/relationships/hyperlink" Id="rId115" Target="https://calcofi.io/calcofi4r/reference/cc_db_catalog.html" TargetMode="External" /><Relationship Type="http://schemas.openxmlformats.org/officeDocument/2006/relationships/hyperlink" Id="rId117" Target="https://calcofi.io/docs/portals.html" TargetMode="External" /><Relationship Type="http://schemas.openxmlformats.org/officeDocument/2006/relationships/hyperlink" Id="rId128" Target="https://calcofi.io/workflows/clean_db.html" TargetMode="External" /><Relationship Type="http://schemas.openxmlformats.org/officeDocument/2006/relationships/hyperlink" Id="rId122" Target="https://calcofi.io/workflows/load_sanctuaries.html" TargetMode="External" /><Relationship Type="http://schemas.openxmlformats.org/officeDocument/2006/relationships/hyperlink" Id="rId17" Target="https://coastwatch.pfeg.noaa.gov/erddap/information.html" TargetMode="External" /><Relationship Type="http://schemas.openxmlformats.org/officeDocument/2006/relationships/hyperlink" Id="rId151" Target="https://coastwatch.pfeg.noaa.gov/erddap/search/index.html?page=1&amp;itemsPerPage=1000&amp;searchFor=CalCOFI" TargetMode="External" /><Relationship Type="http://schemas.openxmlformats.org/officeDocument/2006/relationships/hyperlink" Id="rId85" Target="https://cran.r-project.org/web/packages/snakecase/vignettes/introducing-the-snakecase-package.html" TargetMode="External" /><Relationship Type="http://schemas.openxmlformats.org/officeDocument/2006/relationships/hyperlink" Id="rId89" Target="https://cran.r-project.org/web/packages/units/vignettes/measurement_units_in_R.html" TargetMode="External" /><Relationship Type="http://schemas.openxmlformats.org/officeDocument/2006/relationships/hyperlink" Id="rId160" Target="https://datasetsearch.research.google.com/search?query=calcofi" TargetMode="External" /><Relationship Type="http://schemas.openxmlformats.org/officeDocument/2006/relationships/hyperlink" Id="rId87" Target="https://datatracker.ietf.org/doc/html/rfc4122" TargetMode="External" /><Relationship Type="http://schemas.openxmlformats.org/officeDocument/2006/relationships/hyperlink" Id="rId16" Target="https://docs.ropensci.org/EML" TargetMode="External" /><Relationship Type="http://schemas.openxmlformats.org/officeDocument/2006/relationships/hyperlink" Id="rId118" Target="https://docs.ropensci.org/EML/" TargetMode="External" /><Relationship Type="http://schemas.openxmlformats.org/officeDocument/2006/relationships/hyperlink" Id="rId83" Target="https://drygast.net/blog/post/database_naming_conventions" TargetMode="External" /><Relationship Type="http://schemas.openxmlformats.org/officeDocument/2006/relationships/hyperlink" Id="rId140" Target="https://edirepository.org" TargetMode="External" /><Relationship Type="http://schemas.openxmlformats.org/officeDocument/2006/relationships/hyperlink" Id="rId154" Target="https://eml.ecoinformatics.org/" TargetMode="External" /><Relationship Type="http://schemas.openxmlformats.org/officeDocument/2006/relationships/hyperlink" Id="rId217" Target="https://github.com/CalCOFI" TargetMode="External" /><Relationship Type="http://schemas.openxmlformats.org/officeDocument/2006/relationships/hyperlink" Id="rId64" Target="https://github.com/CalCOFI/api-h3t" TargetMode="External" /><Relationship Type="http://schemas.openxmlformats.org/officeDocument/2006/relationships/hyperlink" Id="rId70" Target="https://github.com/CalCOFI/api-h3t/blob/main/README.md" TargetMode="External" /><Relationship Type="http://schemas.openxmlformats.org/officeDocument/2006/relationships/hyperlink" Id="rId124" Target="https://github.com/CalCOFI/api/blob/8ad9d9ad62fd526d4b8da23357759f1ad196cb88/plumber.R#L916-L990" TargetMode="External" /><Relationship Type="http://schemas.openxmlformats.org/officeDocument/2006/relationships/hyperlink" Id="rId180" Target="https://github.com/CalCOFI/api/commit/28f978fd4b5ca00c770f95dd57465b0384665fb6" TargetMode="External" /><Relationship Type="http://schemas.openxmlformats.org/officeDocument/2006/relationships/hyperlink" Id="rId182" Target="https://github.com/CalCOFI/api/commit/307cd6fac26a6827b1b5c81f23913a1a1d" TargetMode="External" /><Relationship Type="http://schemas.openxmlformats.org/officeDocument/2006/relationships/hyperlink" Id="rId181" Target="https://github.com/CalCOFI/api/commit/b02eccdf262cf9f525ee76a8c03d62efa2573955" TargetMode="External" /><Relationship Type="http://schemas.openxmlformats.org/officeDocument/2006/relationships/hyperlink" Id="rId183" Target="https://github.com/CalCOFI/api/commit/fae53fdfec9ec9dc48a8182d64f4e8e30c3e7100" TargetMode="External" /><Relationship Type="http://schemas.openxmlformats.org/officeDocument/2006/relationships/hyperlink" Id="rId184" Target="https://github.com/CalCOFI/api/issues/6" TargetMode="External" /><Relationship Type="http://schemas.openxmlformats.org/officeDocument/2006/relationships/hyperlink" Id="rId187" Target="https://github.com/CalCOFI/apps/commits" TargetMode="External" /><Relationship Type="http://schemas.openxmlformats.org/officeDocument/2006/relationships/hyperlink" Id="rId109" Target="https://github.com/CalCOFI/calcofi4db" TargetMode="External" /><Relationship Type="http://schemas.openxmlformats.org/officeDocument/2006/relationships/hyperlink" Id="rId103" Target="https://github.com/CalCOFI/calcofi4db/blob/main/inst/create_db.qmd" TargetMode="External" /><Relationship Type="http://schemas.openxmlformats.org/officeDocument/2006/relationships/hyperlink" Id="rId191" Target="https://github.com/CalCOFI/calcofi4db/commit/2a29b9e66e9ec83440cc397d9de70b9c7917ba61" TargetMode="External" /><Relationship Type="http://schemas.openxmlformats.org/officeDocument/2006/relationships/hyperlink" Id="rId193" Target="https://github.com/CalCOFI/calcofi4db/commit/7748dea5b20aa34615da27f2869d21f4262ca344" TargetMode="External" /><Relationship Type="http://schemas.openxmlformats.org/officeDocument/2006/relationships/hyperlink" Id="rId192" Target="https://github.com/CalCOFI/calcofi4db/commit/b6cf4f6896d0707dc01fc6bcada4ae1b597060a8" TargetMode="External" /><Relationship Type="http://schemas.openxmlformats.org/officeDocument/2006/relationships/hyperlink" Id="rId190" Target="https://github.com/CalCOFI/calcofi4db/commit/f00e99a089b26b0def9a6362a942d25fcd75e37f" TargetMode="External" /><Relationship Type="http://schemas.openxmlformats.org/officeDocument/2006/relationships/hyperlink" Id="rId198" Target="https://github.com/CalCOFI/calcofi4r/commit/c17243ae92eb0968bb0666ce4ee6101e88488e73" TargetMode="External" /><Relationship Type="http://schemas.openxmlformats.org/officeDocument/2006/relationships/hyperlink" Id="rId197" Target="https://github.com/CalCOFI/calcofi4r/issues/7" TargetMode="External" /><Relationship Type="http://schemas.openxmlformats.org/officeDocument/2006/relationships/hyperlink" Id="rId196" Target="https://github.com/CalCOFI/calcofi4r/issues/8" TargetMode="External" /><Relationship Type="http://schemas.openxmlformats.org/officeDocument/2006/relationships/hyperlink" Id="rId199" Target="https://github.com/CalCOFI/calcofi4r/issues/9" TargetMode="External" /><Relationship Type="http://schemas.openxmlformats.org/officeDocument/2006/relationships/hyperlink" Id="rId202" Target="https://github.com/CalCOFI/docs/commit/b350cec3bd3afda0dad0cbc48c8d223fa1956641" TargetMode="External" /><Relationship Type="http://schemas.openxmlformats.org/officeDocument/2006/relationships/hyperlink" Id="rId203" Target="https://github.com/CalCOFI/docs/commits" TargetMode="External" /><Relationship Type="http://schemas.openxmlformats.org/officeDocument/2006/relationships/hyperlink" Id="rId65" Target="https://github.com/CalCOFI/int-app" TargetMode="External" /><Relationship Type="http://schemas.openxmlformats.org/officeDocument/2006/relationships/hyperlink" Id="rId41" Target="https://github.com/CalCOFI/int-app/blob/main/app/functions_h3t.R" TargetMode="External" /><Relationship Type="http://schemas.openxmlformats.org/officeDocument/2006/relationships/hyperlink" Id="rId14" Target="https://github.com/CalCOFI/scripts" TargetMode="External" /><Relationship Type="http://schemas.openxmlformats.org/officeDocument/2006/relationships/hyperlink" Id="rId61" Target="https://github.com/CalCOFI/workflows" TargetMode="External" /><Relationship Type="http://schemas.openxmlformats.org/officeDocument/2006/relationships/hyperlink" Id="rId208" Target="https://github.com/CalCOFI/workflows/commit/38f813aff82327f00622c083f591c1a3bce4e55d" TargetMode="External" /><Relationship Type="http://schemas.openxmlformats.org/officeDocument/2006/relationships/hyperlink" Id="rId209" Target="https://github.com/CalCOFI/workflows/commit/81b6c27457c53f862873ce9a4021a759e0e5ad65" TargetMode="External" /><Relationship Type="http://schemas.openxmlformats.org/officeDocument/2006/relationships/hyperlink" Id="rId210" Target="https://github.com/CalCOFI/workflows/issues/24" TargetMode="External" /><Relationship Type="http://schemas.openxmlformats.org/officeDocument/2006/relationships/hyperlink" Id="rId69" Target="https://github.com/INSPIDE/h3j-h3t" TargetMode="External" /><Relationship Type="http://schemas.openxmlformats.org/officeDocument/2006/relationships/hyperlink" Id="rId68" Target="https://github.com/bbest/h3j-h3t/tree/fix/maplibre-v3-compat" TargetMode="External" /><Relationship Type="http://schemas.openxmlformats.org/officeDocument/2006/relationships/hyperlink" Id="rId66" Target="https://github.com/bbest/mapgl/tree/feat/add-h3t-source" TargetMode="External" /><Relationship Type="http://schemas.openxmlformats.org/officeDocument/2006/relationships/hyperlink" Id="rId221" Target="https://github.com/quarto-dev/quarto-r" TargetMode="External" /><Relationship Type="http://schemas.openxmlformats.org/officeDocument/2006/relationships/hyperlink" Id="rId47" Target="https://github.com/tobymao/sqlglot" TargetMode="External" /><Relationship Type="http://schemas.openxmlformats.org/officeDocument/2006/relationships/hyperlink" Id="rId37" Target="https://h3geo.org" TargetMode="External" /><Relationship Type="http://schemas.openxmlformats.org/officeDocument/2006/relationships/hyperlink" Id="rId146" Target="https://manual.obis.org/format_emof.html" TargetMode="External" /><Relationship Type="http://schemas.openxmlformats.org/officeDocument/2006/relationships/hyperlink" Id="rId39" Target="https://marinesensitivity.org/docs/software.html" TargetMode="External" /><Relationship Type="http://schemas.openxmlformats.org/officeDocument/2006/relationships/hyperlink" Id="rId23" Target="https://noaa-onms.github.io/cinms" TargetMode="External" /><Relationship Type="http://schemas.openxmlformats.org/officeDocument/2006/relationships/hyperlink" Id="rId24" Target="https://noaa-onms.github.io/cinms/modals/forage-assemblage.html" TargetMode="External" /><Relationship Type="http://schemas.openxmlformats.org/officeDocument/2006/relationships/hyperlink" Id="rId18" Target="https://obis.org" TargetMode="External" /><Relationship Type="http://schemas.openxmlformats.org/officeDocument/2006/relationships/hyperlink" Id="rId147" Target="https://obis.org/datasets" TargetMode="External" /><Relationship Type="http://schemas.openxmlformats.org/officeDocument/2006/relationships/hyperlink" Id="rId150" Target="https://oceanview.pfeg.noaa.gov/erddap/search/index.html?page=1&amp;itemsPerPage=1000&amp;searchFor=seabird+CalCOFI" TargetMode="External" /><Relationship Type="http://schemas.openxmlformats.org/officeDocument/2006/relationships/hyperlink" Id="rId162" Target="https://odis.org" TargetMode="External" /><Relationship Type="http://schemas.openxmlformats.org/officeDocument/2006/relationships/hyperlink" Id="rId95" Target="https://pandas.pydata.org/docs/index.html" TargetMode="External" /><Relationship Type="http://schemas.openxmlformats.org/officeDocument/2006/relationships/hyperlink" Id="rId97" Target="https://pandas.pydata.org/docs/reference/api/pandas.DataFrame.to_csv.html" TargetMode="External" /><Relationship Type="http://schemas.openxmlformats.org/officeDocument/2006/relationships/hyperlink" Id="rId96" Target="https://pandas.pydata.org/docs/reference/api/pandas.read_csv.html" TargetMode="External" /><Relationship Type="http://schemas.openxmlformats.org/officeDocument/2006/relationships/hyperlink" Id="rId120" Target="https://pgadmin.calcofi.io/" TargetMode="External" /><Relationship Type="http://schemas.openxmlformats.org/officeDocument/2006/relationships/hyperlink" Id="rId90" Target="https://postgis.net" TargetMode="External" /><Relationship Type="http://schemas.openxmlformats.org/officeDocument/2006/relationships/hyperlink" Id="rId130" Target="https://postgis.net/docs/ST_Subdivide.html" TargetMode="External" /><Relationship Type="http://schemas.openxmlformats.org/officeDocument/2006/relationships/hyperlink" Id="rId98" Target="https://readr.tidyverse.org/index.html" TargetMode="External" /><Relationship Type="http://schemas.openxmlformats.org/officeDocument/2006/relationships/hyperlink" Id="rId99" Target="https://readr.tidyverse.org/reference/read_delim.html" TargetMode="External" /><Relationship Type="http://schemas.openxmlformats.org/officeDocument/2006/relationships/hyperlink" Id="rId100" Target="https://readr.tidyverse.org/reference/write_delim.html" TargetMode="External" /><Relationship Type="http://schemas.openxmlformats.org/officeDocument/2006/relationships/hyperlink" Id="rId86" Target="https://sfirke.github.io/janitor/reference/clean_names.html" TargetMode="External" /><Relationship Type="http://schemas.openxmlformats.org/officeDocument/2006/relationships/hyperlink" Id="rId30" Target="https://shiny.calcofi.io" TargetMode="External" /><Relationship Type="http://schemas.openxmlformats.org/officeDocument/2006/relationships/hyperlink" Id="rId25" Target="https://shiny.calcofi.io/capstone" TargetMode="External" /><Relationship Type="http://schemas.openxmlformats.org/officeDocument/2006/relationships/hyperlink" Id="rId28" Target="https://shiny.calcofi.io/oceano" TargetMode="External" /><Relationship Type="http://schemas.openxmlformats.org/officeDocument/2006/relationships/hyperlink" Id="rId223" Target="https://shiny.posit.co/" TargetMode="External" /><Relationship Type="http://schemas.openxmlformats.org/officeDocument/2006/relationships/hyperlink" Id="rId165" Target="https://tile.calcofi.io" TargetMode="External" /><Relationship Type="http://schemas.openxmlformats.org/officeDocument/2006/relationships/hyperlink" Id="rId149" Target="https://upwell.pfeg.noaa.gov/erddap/index.html" TargetMode="External" /><Relationship Type="http://schemas.openxmlformats.org/officeDocument/2006/relationships/hyperlink" Id="rId67" Target="https://walker-data.com/mapgl/" TargetMode="External" /><Relationship Type="http://schemas.openxmlformats.org/officeDocument/2006/relationships/hyperlink" Id="rId19" Target="https://www.dataone.org" TargetMode="External" /><Relationship Type="http://schemas.openxmlformats.org/officeDocument/2006/relationships/hyperlink" Id="rId21" Target="https://www.fisheries.noaa.gov/inport/" TargetMode="External" /><Relationship Type="http://schemas.openxmlformats.org/officeDocument/2006/relationships/hyperlink" Id="rId121" Target="https://www.markdownguide.org/cheat-sheet/" TargetMode="External" /><Relationship Type="http://schemas.openxmlformats.org/officeDocument/2006/relationships/hyperlink" Id="rId20" Target="https://www.ncei.noaa.gov" TargetMode="External" /><Relationship Type="http://schemas.openxmlformats.org/officeDocument/2006/relationships/hyperlink" Id="rId144" Target="https://www.ncei.noaa.gov/access/search/index?q=CalCOFI" TargetMode="External" /><Relationship Type="http://schemas.openxmlformats.org/officeDocument/2006/relationships/hyperlink" Id="rId143" Target="https://www.ncei.noaa.gov/products/ocean-archive" TargetMode="External" /><Relationship Type="http://schemas.openxmlformats.org/officeDocument/2006/relationships/hyperlink" Id="rId88" Target="https://www.postgresql.org/docs/current/datatype-uuid.html" TargetMode="External" /><Relationship Type="http://schemas.openxmlformats.org/officeDocument/2006/relationships/hyperlink" Id="rId94" Target="https://www.postgresql.org/docs/current/multibyte.html#MULTIBYTE-SETTING" TargetMode="External" /><Relationship Type="http://schemas.openxmlformats.org/officeDocument/2006/relationships/hyperlink" Id="rId225" Target="https://www.rplumber.io" TargetMode="External" /><Relationship Type="http://schemas.openxmlformats.org/officeDocument/2006/relationships/hyperlink" Id="rId82" Target="https://www.sqlshack.com/learn-sql-naming-conventions/" TargetMode="External" /><Relationship Type="http://schemas.openxmlformats.org/officeDocument/2006/relationships/hyperlink" Id="rId62" Target="portals.qmd" TargetMode="External" /></Relationships>
</file>

<file path=word/_rels/footnotes.xml.rels><?xml version="1.0" encoding="UTF-8"?><Relationships xmlns="http://schemas.openxmlformats.org/package/2006/relationships"><Relationship Type="http://schemas.openxmlformats.org/officeDocument/2006/relationships/hyperlink" Id="rId53" Target="db.qmd" TargetMode="External" /><Relationship Type="http://schemas.openxmlformats.org/officeDocument/2006/relationships/hyperlink" Id="rId141" Target="http://portal.edirepository.org:80/nis/simpleSearch?defType=edismax&amp;q=CalCOFI&amp;fq=-scope:ecotrends&amp;fq=-scope:lter-landsat*&amp;fl=id,packageid,title,author,organization,pubdate,coordinates&amp;debug=false" TargetMode="External" /><Relationship Type="http://schemas.openxmlformats.org/officeDocument/2006/relationships/hyperlink" Id="rId73" Target="https://api.calcofi.io" TargetMode="External" /><Relationship Type="http://schemas.openxmlformats.org/officeDocument/2006/relationships/hyperlink" Id="rId125" Target="https://api.calcofi.io/db_columns" TargetMode="External" /><Relationship Type="http://schemas.openxmlformats.org/officeDocument/2006/relationships/hyperlink" Id="rId114" Target="https://api.calcofi.io/db_tables" TargetMode="External" /><Relationship Type="http://schemas.openxmlformats.org/officeDocument/2006/relationships/hyperlink" Id="rId34" Target="https://app.calcofi.io/int" TargetMode="External" /><Relationship Type="http://schemas.openxmlformats.org/officeDocument/2006/relationships/hyperlink" Id="rId15" Target="https://calcofi.github.io/calcofi4r/reference/index.html" TargetMode="External" /><Relationship Type="http://schemas.openxmlformats.org/officeDocument/2006/relationships/hyperlink" Id="rId169" Target="https://calcofi.io" TargetMode="External" /><Relationship Type="http://schemas.openxmlformats.org/officeDocument/2006/relationships/hyperlink" Id="rId167" Target="https://calcofi.io/calcofi4r" TargetMode="External" /><Relationship Type="http://schemas.openxmlformats.org/officeDocument/2006/relationships/hyperlink" Id="rId115" Target="https://calcofi.io/calcofi4r/reference/cc_db_catalog.html" TargetMode="External" /><Relationship Type="http://schemas.openxmlformats.org/officeDocument/2006/relationships/hyperlink" Id="rId117" Target="https://calcofi.io/docs/portals.html" TargetMode="External" /><Relationship Type="http://schemas.openxmlformats.org/officeDocument/2006/relationships/hyperlink" Id="rId128" Target="https://calcofi.io/workflows/clean_db.html" TargetMode="External" /><Relationship Type="http://schemas.openxmlformats.org/officeDocument/2006/relationships/hyperlink" Id="rId122" Target="https://calcofi.io/workflows/load_sanctuaries.html" TargetMode="External" /><Relationship Type="http://schemas.openxmlformats.org/officeDocument/2006/relationships/hyperlink" Id="rId17" Target="https://coastwatch.pfeg.noaa.gov/erddap/information.html" TargetMode="External" /><Relationship Type="http://schemas.openxmlformats.org/officeDocument/2006/relationships/hyperlink" Id="rId151" Target="https://coastwatch.pfeg.noaa.gov/erddap/search/index.html?page=1&amp;itemsPerPage=1000&amp;searchFor=CalCOFI" TargetMode="External" /><Relationship Type="http://schemas.openxmlformats.org/officeDocument/2006/relationships/hyperlink" Id="rId85" Target="https://cran.r-project.org/web/packages/snakecase/vignettes/introducing-the-snakecase-package.html" TargetMode="External" /><Relationship Type="http://schemas.openxmlformats.org/officeDocument/2006/relationships/hyperlink" Id="rId89" Target="https://cran.r-project.org/web/packages/units/vignettes/measurement_units_in_R.html" TargetMode="External" /><Relationship Type="http://schemas.openxmlformats.org/officeDocument/2006/relationships/hyperlink" Id="rId160" Target="https://datasetsearch.research.google.com/search?query=calcofi" TargetMode="External" /><Relationship Type="http://schemas.openxmlformats.org/officeDocument/2006/relationships/hyperlink" Id="rId87" Target="https://datatracker.ietf.org/doc/html/rfc4122" TargetMode="External" /><Relationship Type="http://schemas.openxmlformats.org/officeDocument/2006/relationships/hyperlink" Id="rId16" Target="https://docs.ropensci.org/EML" TargetMode="External" /><Relationship Type="http://schemas.openxmlformats.org/officeDocument/2006/relationships/hyperlink" Id="rId118" Target="https://docs.ropensci.org/EML/" TargetMode="External" /><Relationship Type="http://schemas.openxmlformats.org/officeDocument/2006/relationships/hyperlink" Id="rId83" Target="https://drygast.net/blog/post/database_naming_conventions" TargetMode="External" /><Relationship Type="http://schemas.openxmlformats.org/officeDocument/2006/relationships/hyperlink" Id="rId140" Target="https://edirepository.org" TargetMode="External" /><Relationship Type="http://schemas.openxmlformats.org/officeDocument/2006/relationships/hyperlink" Id="rId154" Target="https://eml.ecoinformatics.org/" TargetMode="External" /><Relationship Type="http://schemas.openxmlformats.org/officeDocument/2006/relationships/hyperlink" Id="rId217" Target="https://github.com/CalCOFI" TargetMode="External" /><Relationship Type="http://schemas.openxmlformats.org/officeDocument/2006/relationships/hyperlink" Id="rId64" Target="https://github.com/CalCOFI/api-h3t" TargetMode="External" /><Relationship Type="http://schemas.openxmlformats.org/officeDocument/2006/relationships/hyperlink" Id="rId70" Target="https://github.com/CalCOFI/api-h3t/blob/main/README.md" TargetMode="External" /><Relationship Type="http://schemas.openxmlformats.org/officeDocument/2006/relationships/hyperlink" Id="rId124" Target="https://github.com/CalCOFI/api/blob/8ad9d9ad62fd526d4b8da23357759f1ad196cb88/plumber.R#L916-L990" TargetMode="External" /><Relationship Type="http://schemas.openxmlformats.org/officeDocument/2006/relationships/hyperlink" Id="rId180" Target="https://github.com/CalCOFI/api/commit/28f978fd4b5ca00c770f95dd57465b0384665fb6" TargetMode="External" /><Relationship Type="http://schemas.openxmlformats.org/officeDocument/2006/relationships/hyperlink" Id="rId182" Target="https://github.com/CalCOFI/api/commit/307cd6fac26a6827b1b5c81f23913a1a1d" TargetMode="External" /><Relationship Type="http://schemas.openxmlformats.org/officeDocument/2006/relationships/hyperlink" Id="rId181" Target="https://github.com/CalCOFI/api/commit/b02eccdf262cf9f525ee76a8c03d62efa2573955" TargetMode="External" /><Relationship Type="http://schemas.openxmlformats.org/officeDocument/2006/relationships/hyperlink" Id="rId183" Target="https://github.com/CalCOFI/api/commit/fae53fdfec9ec9dc48a8182d64f4e8e30c3e7100" TargetMode="External" /><Relationship Type="http://schemas.openxmlformats.org/officeDocument/2006/relationships/hyperlink" Id="rId184" Target="https://github.com/CalCOFI/api/issues/6" TargetMode="External" /><Relationship Type="http://schemas.openxmlformats.org/officeDocument/2006/relationships/hyperlink" Id="rId187" Target="https://github.com/CalCOFI/apps/commits" TargetMode="External" /><Relationship Type="http://schemas.openxmlformats.org/officeDocument/2006/relationships/hyperlink" Id="rId109" Target="https://github.com/CalCOFI/calcofi4db" TargetMode="External" /><Relationship Type="http://schemas.openxmlformats.org/officeDocument/2006/relationships/hyperlink" Id="rId103" Target="https://github.com/CalCOFI/calcofi4db/blob/main/inst/create_db.qmd" TargetMode="External" /><Relationship Type="http://schemas.openxmlformats.org/officeDocument/2006/relationships/hyperlink" Id="rId191" Target="https://github.com/CalCOFI/calcofi4db/commit/2a29b9e66e9ec83440cc397d9de70b9c7917ba61" TargetMode="External" /><Relationship Type="http://schemas.openxmlformats.org/officeDocument/2006/relationships/hyperlink" Id="rId193" Target="https://github.com/CalCOFI/calcofi4db/commit/7748dea5b20aa34615da27f2869d21f4262ca344" TargetMode="External" /><Relationship Type="http://schemas.openxmlformats.org/officeDocument/2006/relationships/hyperlink" Id="rId192" Target="https://github.com/CalCOFI/calcofi4db/commit/b6cf4f6896d0707dc01fc6bcada4ae1b597060a8" TargetMode="External" /><Relationship Type="http://schemas.openxmlformats.org/officeDocument/2006/relationships/hyperlink" Id="rId190" Target="https://github.com/CalCOFI/calcofi4db/commit/f00e99a089b26b0def9a6362a942d25fcd75e37f" TargetMode="External" /><Relationship Type="http://schemas.openxmlformats.org/officeDocument/2006/relationships/hyperlink" Id="rId198" Target="https://github.com/CalCOFI/calcofi4r/commit/c17243ae92eb0968bb0666ce4ee6101e88488e73" TargetMode="External" /><Relationship Type="http://schemas.openxmlformats.org/officeDocument/2006/relationships/hyperlink" Id="rId197" Target="https://github.com/CalCOFI/calcofi4r/issues/7" TargetMode="External" /><Relationship Type="http://schemas.openxmlformats.org/officeDocument/2006/relationships/hyperlink" Id="rId196" Target="https://github.com/CalCOFI/calcofi4r/issues/8" TargetMode="External" /><Relationship Type="http://schemas.openxmlformats.org/officeDocument/2006/relationships/hyperlink" Id="rId199" Target="https://github.com/CalCOFI/calcofi4r/issues/9" TargetMode="External" /><Relationship Type="http://schemas.openxmlformats.org/officeDocument/2006/relationships/hyperlink" Id="rId202" Target="https://github.com/CalCOFI/docs/commit/b350cec3bd3afda0dad0cbc48c8d223fa1956641" TargetMode="External" /><Relationship Type="http://schemas.openxmlformats.org/officeDocument/2006/relationships/hyperlink" Id="rId203" Target="https://github.com/CalCOFI/docs/commits" TargetMode="External" /><Relationship Type="http://schemas.openxmlformats.org/officeDocument/2006/relationships/hyperlink" Id="rId65" Target="https://github.com/CalCOFI/int-app" TargetMode="External" /><Relationship Type="http://schemas.openxmlformats.org/officeDocument/2006/relationships/hyperlink" Id="rId41" Target="https://github.com/CalCOFI/int-app/blob/main/app/functions_h3t.R" TargetMode="External" /><Relationship Type="http://schemas.openxmlformats.org/officeDocument/2006/relationships/hyperlink" Id="rId14" Target="https://github.com/CalCOFI/scripts" TargetMode="External" /><Relationship Type="http://schemas.openxmlformats.org/officeDocument/2006/relationships/hyperlink" Id="rId61" Target="https://github.com/CalCOFI/workflows" TargetMode="External" /><Relationship Type="http://schemas.openxmlformats.org/officeDocument/2006/relationships/hyperlink" Id="rId208" Target="https://github.com/CalCOFI/workflows/commit/38f813aff82327f00622c083f591c1a3bce4e55d" TargetMode="External" /><Relationship Type="http://schemas.openxmlformats.org/officeDocument/2006/relationships/hyperlink" Id="rId209" Target="https://github.com/CalCOFI/workflows/commit/81b6c27457c53f862873ce9a4021a759e0e5ad65" TargetMode="External" /><Relationship Type="http://schemas.openxmlformats.org/officeDocument/2006/relationships/hyperlink" Id="rId210" Target="https://github.com/CalCOFI/workflows/issues/24" TargetMode="External" /><Relationship Type="http://schemas.openxmlformats.org/officeDocument/2006/relationships/hyperlink" Id="rId69" Target="https://github.com/INSPIDE/h3j-h3t" TargetMode="External" /><Relationship Type="http://schemas.openxmlformats.org/officeDocument/2006/relationships/hyperlink" Id="rId68" Target="https://github.com/bbest/h3j-h3t/tree/fix/maplibre-v3-compat" TargetMode="External" /><Relationship Type="http://schemas.openxmlformats.org/officeDocument/2006/relationships/hyperlink" Id="rId66" Target="https://github.com/bbest/mapgl/tree/feat/add-h3t-source" TargetMode="External" /><Relationship Type="http://schemas.openxmlformats.org/officeDocument/2006/relationships/hyperlink" Id="rId221" Target="https://github.com/quarto-dev/quarto-r" TargetMode="External" /><Relationship Type="http://schemas.openxmlformats.org/officeDocument/2006/relationships/hyperlink" Id="rId47" Target="https://github.com/tobymao/sqlglot" TargetMode="External" /><Relationship Type="http://schemas.openxmlformats.org/officeDocument/2006/relationships/hyperlink" Id="rId37" Target="https://h3geo.org" TargetMode="External" /><Relationship Type="http://schemas.openxmlformats.org/officeDocument/2006/relationships/hyperlink" Id="rId146" Target="https://manual.obis.org/format_emof.html" TargetMode="External" /><Relationship Type="http://schemas.openxmlformats.org/officeDocument/2006/relationships/hyperlink" Id="rId39" Target="https://marinesensitivity.org/docs/software.html" TargetMode="External" /><Relationship Type="http://schemas.openxmlformats.org/officeDocument/2006/relationships/hyperlink" Id="rId23" Target="https://noaa-onms.github.io/cinms" TargetMode="External" /><Relationship Type="http://schemas.openxmlformats.org/officeDocument/2006/relationships/hyperlink" Id="rId24" Target="https://noaa-onms.github.io/cinms/modals/forage-assemblage.html" TargetMode="External" /><Relationship Type="http://schemas.openxmlformats.org/officeDocument/2006/relationships/hyperlink" Id="rId18" Target="https://obis.org" TargetMode="External" /><Relationship Type="http://schemas.openxmlformats.org/officeDocument/2006/relationships/hyperlink" Id="rId147" Target="https://obis.org/datasets" TargetMode="External" /><Relationship Type="http://schemas.openxmlformats.org/officeDocument/2006/relationships/hyperlink" Id="rId150" Target="https://oceanview.pfeg.noaa.gov/erddap/search/index.html?page=1&amp;itemsPerPage=1000&amp;searchFor=seabird+CalCOFI" TargetMode="External" /><Relationship Type="http://schemas.openxmlformats.org/officeDocument/2006/relationships/hyperlink" Id="rId162" Target="https://odis.org" TargetMode="External" /><Relationship Type="http://schemas.openxmlformats.org/officeDocument/2006/relationships/hyperlink" Id="rId95" Target="https://pandas.pydata.org/docs/index.html" TargetMode="External" /><Relationship Type="http://schemas.openxmlformats.org/officeDocument/2006/relationships/hyperlink" Id="rId97" Target="https://pandas.pydata.org/docs/reference/api/pandas.DataFrame.to_csv.html" TargetMode="External" /><Relationship Type="http://schemas.openxmlformats.org/officeDocument/2006/relationships/hyperlink" Id="rId96" Target="https://pandas.pydata.org/docs/reference/api/pandas.read_csv.html" TargetMode="External" /><Relationship Type="http://schemas.openxmlformats.org/officeDocument/2006/relationships/hyperlink" Id="rId120" Target="https://pgadmin.calcofi.io/" TargetMode="External" /><Relationship Type="http://schemas.openxmlformats.org/officeDocument/2006/relationships/hyperlink" Id="rId90" Target="https://postgis.net" TargetMode="External" /><Relationship Type="http://schemas.openxmlformats.org/officeDocument/2006/relationships/hyperlink" Id="rId130" Target="https://postgis.net/docs/ST_Subdivide.html" TargetMode="External" /><Relationship Type="http://schemas.openxmlformats.org/officeDocument/2006/relationships/hyperlink" Id="rId98" Target="https://readr.tidyverse.org/index.html" TargetMode="External" /><Relationship Type="http://schemas.openxmlformats.org/officeDocument/2006/relationships/hyperlink" Id="rId99" Target="https://readr.tidyverse.org/reference/read_delim.html" TargetMode="External" /><Relationship Type="http://schemas.openxmlformats.org/officeDocument/2006/relationships/hyperlink" Id="rId100" Target="https://readr.tidyverse.org/reference/write_delim.html" TargetMode="External" /><Relationship Type="http://schemas.openxmlformats.org/officeDocument/2006/relationships/hyperlink" Id="rId86" Target="https://sfirke.github.io/janitor/reference/clean_names.html" TargetMode="External" /><Relationship Type="http://schemas.openxmlformats.org/officeDocument/2006/relationships/hyperlink" Id="rId30" Target="https://shiny.calcofi.io" TargetMode="External" /><Relationship Type="http://schemas.openxmlformats.org/officeDocument/2006/relationships/hyperlink" Id="rId25" Target="https://shiny.calcofi.io/capstone" TargetMode="External" /><Relationship Type="http://schemas.openxmlformats.org/officeDocument/2006/relationships/hyperlink" Id="rId28" Target="https://shiny.calcofi.io/oceano" TargetMode="External" /><Relationship Type="http://schemas.openxmlformats.org/officeDocument/2006/relationships/hyperlink" Id="rId223" Target="https://shiny.posit.co/" TargetMode="External" /><Relationship Type="http://schemas.openxmlformats.org/officeDocument/2006/relationships/hyperlink" Id="rId165" Target="https://tile.calcofi.io" TargetMode="External" /><Relationship Type="http://schemas.openxmlformats.org/officeDocument/2006/relationships/hyperlink" Id="rId149" Target="https://upwell.pfeg.noaa.gov/erddap/index.html" TargetMode="External" /><Relationship Type="http://schemas.openxmlformats.org/officeDocument/2006/relationships/hyperlink" Id="rId67" Target="https://walker-data.com/mapgl/" TargetMode="External" /><Relationship Type="http://schemas.openxmlformats.org/officeDocument/2006/relationships/hyperlink" Id="rId19" Target="https://www.dataone.org" TargetMode="External" /><Relationship Type="http://schemas.openxmlformats.org/officeDocument/2006/relationships/hyperlink" Id="rId21" Target="https://www.fisheries.noaa.gov/inport/" TargetMode="External" /><Relationship Type="http://schemas.openxmlformats.org/officeDocument/2006/relationships/hyperlink" Id="rId121" Target="https://www.markdownguide.org/cheat-sheet/" TargetMode="External" /><Relationship Type="http://schemas.openxmlformats.org/officeDocument/2006/relationships/hyperlink" Id="rId20" Target="https://www.ncei.noaa.gov" TargetMode="External" /><Relationship Type="http://schemas.openxmlformats.org/officeDocument/2006/relationships/hyperlink" Id="rId144" Target="https://www.ncei.noaa.gov/access/search/index?q=CalCOFI" TargetMode="External" /><Relationship Type="http://schemas.openxmlformats.org/officeDocument/2006/relationships/hyperlink" Id="rId143" Target="https://www.ncei.noaa.gov/products/ocean-archive" TargetMode="External" /><Relationship Type="http://schemas.openxmlformats.org/officeDocument/2006/relationships/hyperlink" Id="rId88" Target="https://www.postgresql.org/docs/current/datatype-uuid.html" TargetMode="External" /><Relationship Type="http://schemas.openxmlformats.org/officeDocument/2006/relationships/hyperlink" Id="rId94" Target="https://www.postgresql.org/docs/current/multibyte.html#MULTIBYTE-SETTING" TargetMode="External" /><Relationship Type="http://schemas.openxmlformats.org/officeDocument/2006/relationships/hyperlink" Id="rId225" Target="https://www.rplumber.io" TargetMode="External" /><Relationship Type="http://schemas.openxmlformats.org/officeDocument/2006/relationships/hyperlink" Id="rId82" Target="https://www.sqlshack.com/learn-sql-naming-conventions/" TargetMode="External" /><Relationship Type="http://schemas.openxmlformats.org/officeDocument/2006/relationships/hyperlink" Id="rId62" Target="portals.q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CalCOFI.io</dc:title>
  <dc:creator>Benjamin D. Best; Erin Satterthwaite</dc:creator>
  <dc:description>Documentation for open-Source products at CalCOFI.io developed for California Cooperative Oceanic Fisheries Investigations (CalCOFI.org)</dc:description>
  <cp:keywords/>
  <dcterms:created xsi:type="dcterms:W3CDTF">2026-04-29T11:10:26Z</dcterms:created>
  <dcterms:modified xsi:type="dcterms:W3CDTF">2026-04-29T11:10:26Z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ibliographystyle">
    <vt:lpwstr>apa</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date">
    <vt:lpwstr>2026-04-29</vt:lpwstr>
  </property>
  <property fmtid="{D5CDD505-2E9C-101B-9397-08002B2CF9AE}" pid="12" name="date-format">
    <vt:lpwstr>YYYY-MM-DD</vt:lpwstr>
  </property>
  <property fmtid="{D5CDD505-2E9C-101B-9397-08002B2CF9AE}" pid="13" name="editor">
    <vt:lpwstr/>
  </property>
  <property fmtid="{D5CDD505-2E9C-101B-9397-08002B2CF9AE}" pid="14" name="engines">
    <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nk-citations">
    <vt:lpwstr>True</vt:lpwstr>
  </property>
  <property fmtid="{D5CDD505-2E9C-101B-9397-08002B2CF9AE}" pid="20" name="subtitle">
    <vt:lpwstr>Documentation</vt:lpwstr>
  </property>
  <property fmtid="{D5CDD505-2E9C-101B-9397-08002B2CF9AE}" pid="21" name="template-partials">
    <vt:lpwstr/>
  </property>
  <property fmtid="{D5CDD505-2E9C-101B-9397-08002B2CF9AE}" pid="22" name="toc-title">
    <vt:lpwstr>Table of contents</vt:lpwstr>
  </property>
</Properties>
</file>